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50674CF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0B4C45" w:rsidRPr="000B4C45">
        <w:rPr>
          <w:b/>
          <w:bCs/>
          <w:sz w:val="28"/>
        </w:rPr>
        <w:t>Étude</w:t>
      </w:r>
      <w:r w:rsidR="00314026">
        <w:rPr>
          <w:b/>
          <w:bCs/>
          <w:sz w:val="28"/>
        </w:rPr>
        <w:t xml:space="preserve">s </w:t>
      </w:r>
      <w:r w:rsidR="002B7644">
        <w:rPr>
          <w:b/>
          <w:bCs/>
          <w:sz w:val="28"/>
        </w:rPr>
        <w:t>urbaines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494A9DED" w14:textId="77777777" w:rsidR="002B7644" w:rsidRPr="009E3F9B" w:rsidRDefault="002B7644" w:rsidP="002B764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11"/>
        <w:gridCol w:w="236"/>
        <w:gridCol w:w="2704"/>
        <w:gridCol w:w="240"/>
        <w:gridCol w:w="3300"/>
        <w:gridCol w:w="240"/>
        <w:gridCol w:w="3675"/>
      </w:tblGrid>
      <w:tr w:rsidR="002B7644" w:rsidRPr="005A1FA5" w14:paraId="685FF60A" w14:textId="77777777" w:rsidTr="002B7644">
        <w:trPr>
          <w:jc w:val="center"/>
        </w:trPr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E99777F" w14:textId="2CBA969F" w:rsidR="002B7644" w:rsidRPr="005A1FA5" w:rsidRDefault="002B7644" w:rsidP="000B3F20">
            <w:pPr>
              <w:pStyle w:val="Tablestyle1"/>
              <w:rPr>
                <w:rFonts w:cs="Arial"/>
              </w:rPr>
            </w:pPr>
            <w:r w:rsidRPr="001C0FC7">
              <w:rPr>
                <w:rFonts w:eastAsia="Cambria" w:cs="Cambria"/>
                <w:szCs w:val="20"/>
              </w:rPr>
              <w:t>L’urbanisation est une force cruciale qui influence la vie des êtres humains et façonne la planète.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8A1A47" w14:textId="77777777" w:rsidR="002B7644" w:rsidRPr="005A1FA5" w:rsidRDefault="002B7644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1EF925" w14:textId="3D5B42DB" w:rsidR="002B7644" w:rsidRPr="005A1FA5" w:rsidRDefault="002B7644" w:rsidP="000B3F20">
            <w:pPr>
              <w:pStyle w:val="Tablestyle1"/>
              <w:rPr>
                <w:rFonts w:cs="Arial"/>
              </w:rPr>
            </w:pPr>
            <w:r w:rsidRPr="001C0FC7">
              <w:rPr>
                <w:rFonts w:eastAsia="Cambria" w:cs="Cambria"/>
                <w:szCs w:val="20"/>
              </w:rPr>
              <w:t xml:space="preserve">L’essor historique des villes a été conditionné par des facteurs géographiques, économiques, politiques </w:t>
            </w:r>
            <w:r>
              <w:rPr>
                <w:rFonts w:eastAsia="Cambria" w:cs="Cambria"/>
                <w:szCs w:val="20"/>
              </w:rPr>
              <w:br/>
            </w:r>
            <w:r w:rsidRPr="001C0FC7">
              <w:rPr>
                <w:rFonts w:eastAsia="Cambria" w:cs="Cambria"/>
                <w:szCs w:val="20"/>
              </w:rPr>
              <w:t>et sociaux.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48FB40" w14:textId="77777777" w:rsidR="002B7644" w:rsidRPr="005A1FA5" w:rsidRDefault="002B7644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12DB9501" w14:textId="739F2DAD" w:rsidR="002B7644" w:rsidRPr="004F6388" w:rsidRDefault="002B7644" w:rsidP="000B3F20">
            <w:pPr>
              <w:pStyle w:val="Tablestyle1"/>
              <w:rPr>
                <w:szCs w:val="20"/>
              </w:rPr>
            </w:pPr>
            <w:r w:rsidRPr="001C0FC7">
              <w:rPr>
                <w:rFonts w:eastAsia="Cambria" w:cs="Cambria"/>
                <w:szCs w:val="20"/>
              </w:rPr>
              <w:t>Les décisions en matière d’urbanisme et de planification régionale exigent l’équilibrage de facteurs politiques, économiques, sociaux et environnementaux.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FF72C" w14:textId="77777777" w:rsidR="002B7644" w:rsidRPr="004F6388" w:rsidRDefault="002B7644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CEA021D" w14:textId="75724F5B" w:rsidR="002B7644" w:rsidRPr="005A1FA5" w:rsidRDefault="002B7644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1C0FC7">
              <w:rPr>
                <w:rFonts w:eastAsia="Cambria" w:cs="Cambria"/>
                <w:szCs w:val="20"/>
              </w:rPr>
              <w:t>Les décisions en matière d’urbanisme et autres politiques gouvernementales peuvent considérablement et globalement affecter la qualité de vie dans les villes.</w:t>
            </w:r>
          </w:p>
        </w:tc>
      </w:tr>
    </w:tbl>
    <w:p w14:paraId="446EBFDD" w14:textId="77777777" w:rsidR="002B7644" w:rsidRPr="009E3F9B" w:rsidRDefault="002B7644" w:rsidP="002B7644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BA2AAB" w:rsidRPr="006206CC" w14:paraId="7C49560F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A2AAB" w:rsidRPr="006206CC" w14:paraId="5149B766" w14:textId="77777777" w:rsidTr="00314026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B7644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2B7644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27DDF4BC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C0FC7">
              <w:rPr>
                <w:rFonts w:ascii="Helvetica" w:hAnsi="Helvetica" w:cstheme="majorHAnsi"/>
                <w:b/>
                <w:sz w:val="20"/>
                <w:szCs w:val="20"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09029B3B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1C0FC7">
              <w:rPr>
                <w:rFonts w:ascii="Helvetica" w:hAnsi="Helvetica" w:cs="Arial"/>
                <w:sz w:val="20"/>
                <w:szCs w:val="20"/>
              </w:rPr>
              <w:t>Déterminer et comparer l’importance de facteurs présents et passés qui influencent l’urbanisation (portée)</w:t>
            </w:r>
          </w:p>
          <w:p w14:paraId="4409CC1F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 w:cs="Arial"/>
                <w:sz w:val="20"/>
                <w:szCs w:val="20"/>
              </w:rPr>
            </w:pPr>
            <w:r w:rsidRPr="001C0FC7">
              <w:rPr>
                <w:rFonts w:ascii="Helvetica" w:eastAsia="Arial" w:hAnsi="Helvetica" w:cs="Arial"/>
                <w:sz w:val="20"/>
                <w:szCs w:val="20"/>
              </w:rPr>
              <w:t>Poser des questions au sujet du contenu, des origines, des objectifs et du contexte de multiples sources afin de corroborer les inférences que l’on peut en tirer (preuves)</w:t>
            </w:r>
          </w:p>
          <w:p w14:paraId="46E8A91D" w14:textId="77777777" w:rsidR="002B7644" w:rsidRPr="001C0FC7" w:rsidRDefault="002B7644" w:rsidP="002B7644">
            <w:pPr>
              <w:pStyle w:val="ListBullet"/>
              <w:keepNext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80" w:line="240" w:lineRule="auto"/>
              <w:rPr>
                <w:rFonts w:ascii="Helvetica" w:hAnsi="Helvetica" w:cs="Arial"/>
                <w:b/>
                <w:sz w:val="20"/>
                <w:szCs w:val="20"/>
              </w:rPr>
            </w:pPr>
            <w:r w:rsidRPr="001C0FC7">
              <w:rPr>
                <w:rFonts w:ascii="Helvetica" w:hAnsi="Helvetica" w:cs="Arial"/>
                <w:b/>
                <w:sz w:val="20"/>
                <w:szCs w:val="20"/>
              </w:rPr>
              <w:t>Identifier les éléments de changement et de continuité dans l’évolution des espaces urbains (continuité et changement)</w:t>
            </w:r>
          </w:p>
          <w:p w14:paraId="66AC8DEE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1C0FC7">
              <w:rPr>
                <w:rFonts w:ascii="Helvetica" w:hAnsi="Helvetica" w:cs="Arial"/>
                <w:b/>
                <w:sz w:val="20"/>
                <w:szCs w:val="20"/>
              </w:rPr>
              <w:t>Déterminer et évaluer les causes et les conséquences à court et long terme, ainsi que les conséquences prévues et imprévues des décisions de politiques publiques liées aux zones urbaines (cause et conséquence)</w:t>
            </w:r>
          </w:p>
          <w:p w14:paraId="04CDDFD9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1C0FC7">
              <w:rPr>
                <w:rFonts w:ascii="Helvetica" w:eastAsia="Arial" w:hAnsi="Helvetica" w:cs="Arial"/>
                <w:sz w:val="20"/>
                <w:szCs w:val="20"/>
              </w:rPr>
              <w:t>Expliquer et relever les forces qui influencent les opinions et les décisions sur des enjeux actuels liés aux études sur les questions urbaines (perspective)</w:t>
            </w:r>
          </w:p>
          <w:p w14:paraId="69112906" w14:textId="77777777" w:rsidR="002B7644" w:rsidRPr="001C0FC7" w:rsidRDefault="002B7644" w:rsidP="002B7644">
            <w:pPr>
              <w:pStyle w:val="ListBulle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contextualSpacing w:val="0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C0FC7">
              <w:rPr>
                <w:rFonts w:ascii="Helvetica" w:eastAsia="Arial" w:hAnsi="Helvetica" w:cs="Arial"/>
                <w:sz w:val="20"/>
                <w:szCs w:val="20"/>
              </w:rPr>
              <w:t>Reconnaître les jugements implicites et explicites de diverses sources (jugement éthique)</w:t>
            </w:r>
          </w:p>
          <w:p w14:paraId="61D86295" w14:textId="525FB6ED" w:rsidR="00137394" w:rsidRPr="002B7644" w:rsidRDefault="002B7644" w:rsidP="002B7644">
            <w:pPr>
              <w:pStyle w:val="ListParagraph"/>
              <w:spacing w:after="120"/>
            </w:pPr>
            <w:r w:rsidRPr="001C0FC7">
              <w:rPr>
                <w:rFonts w:cstheme="majorHAnsi"/>
              </w:rPr>
              <w:t>Porter des jugements éthiques raisonnés sur des enjeux du passé et du présent, après avoir étudié le contexte et les notions de bien ou de mal</w:t>
            </w:r>
            <w:r w:rsidRPr="001C0FC7">
              <w:rPr>
                <w:rFonts w:cstheme="majorHAnsi"/>
                <w:b/>
              </w:rPr>
              <w:t xml:space="preserve"> </w:t>
            </w:r>
            <w:r w:rsidRPr="001C0FC7">
              <w:rPr>
                <w:rFonts w:cstheme="majorHAnsi"/>
              </w:rPr>
              <w:t>(jugement éthique)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8004051" w14:textId="77777777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Urbanisation en tant que phénomène mondial</w:t>
            </w:r>
          </w:p>
          <w:p w14:paraId="1CB03E9E" w14:textId="77777777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Tendances historiques de l’établissement des populations dans les centres urbains</w:t>
            </w:r>
          </w:p>
          <w:p w14:paraId="305EE90C" w14:textId="08093DE1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 xml:space="preserve">Gouvernance locale et régionale </w:t>
            </w:r>
            <w:r>
              <w:rPr>
                <w:b/>
              </w:rPr>
              <w:br/>
            </w:r>
            <w:r w:rsidRPr="002B7644">
              <w:rPr>
                <w:b/>
              </w:rPr>
              <w:t xml:space="preserve">en Colombie-Britannique et liens avec </w:t>
            </w:r>
            <w:r>
              <w:rPr>
                <w:b/>
              </w:rPr>
              <w:br/>
            </w:r>
            <w:r w:rsidRPr="002B7644">
              <w:rPr>
                <w:b/>
              </w:rPr>
              <w:t>les autres paliers de gouvernement</w:t>
            </w:r>
          </w:p>
          <w:p w14:paraId="441F4D4C" w14:textId="59015873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 xml:space="preserve">Fonctions du gouvernement local </w:t>
            </w:r>
            <w:r>
              <w:rPr>
                <w:b/>
              </w:rPr>
              <w:br/>
            </w:r>
            <w:r w:rsidRPr="002B7644">
              <w:rPr>
                <w:b/>
              </w:rPr>
              <w:t>et régional</w:t>
            </w:r>
          </w:p>
          <w:p w14:paraId="7FE53193" w14:textId="77777777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Planification urbaine et aménagement urbain</w:t>
            </w:r>
          </w:p>
          <w:p w14:paraId="16ABD3DC" w14:textId="65978514" w:rsidR="002B7644" w:rsidRPr="002B7644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 xml:space="preserve">Prise de décision liée à la planification </w:t>
            </w:r>
            <w:r>
              <w:rPr>
                <w:b/>
              </w:rPr>
              <w:br/>
            </w:r>
            <w:r w:rsidRPr="002B7644">
              <w:rPr>
                <w:b/>
              </w:rPr>
              <w:t>des villes et des régions</w:t>
            </w:r>
          </w:p>
          <w:p w14:paraId="03C90176" w14:textId="00D92DC8" w:rsidR="0024696F" w:rsidRPr="00314026" w:rsidRDefault="002B7644" w:rsidP="002B7644">
            <w:pPr>
              <w:pStyle w:val="ListParagraph"/>
              <w:spacing w:after="120"/>
              <w:rPr>
                <w:b/>
              </w:rPr>
            </w:pPr>
            <w:r w:rsidRPr="002B7644">
              <w:rPr>
                <w:b/>
              </w:rPr>
              <w:t xml:space="preserve">Sujets contemporains rattachés </w:t>
            </w:r>
            <w:r>
              <w:rPr>
                <w:b/>
              </w:rPr>
              <w:br/>
            </w:r>
            <w:r w:rsidRPr="002B7644">
              <w:rPr>
                <w:b/>
              </w:rPr>
              <w:t xml:space="preserve">aux études urbaines </w:t>
            </w:r>
          </w:p>
        </w:tc>
      </w:tr>
    </w:tbl>
    <w:p w14:paraId="1524A218" w14:textId="36DA5DA2" w:rsidR="00E14107" w:rsidRPr="00BE3012" w:rsidRDefault="0018557D" w:rsidP="00E14107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sz w:val="16"/>
          <w:szCs w:val="16"/>
        </w:rPr>
      </w:pPr>
      <w:r w:rsidRPr="00BE3012">
        <w:rPr>
          <w:sz w:val="16"/>
          <w:szCs w:val="16"/>
        </w:rPr>
        <w:br w:type="page"/>
      </w:r>
      <w:r w:rsidR="00023C18" w:rsidRPr="00BE3012">
        <w:rPr>
          <w:noProof/>
          <w:sz w:val="16"/>
          <w:szCs w:val="16"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B47E69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47FF76AD" w:rsidR="00ED1AB0" w:rsidRPr="006206CC" w:rsidRDefault="00ED1AB0" w:rsidP="002B764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0B4C45" w:rsidRPr="000B4C45">
              <w:rPr>
                <w:b/>
                <w:bCs/>
                <w:szCs w:val="22"/>
              </w:rPr>
              <w:t>Étude</w:t>
            </w:r>
            <w:r w:rsidR="00314026">
              <w:rPr>
                <w:b/>
                <w:bCs/>
                <w:szCs w:val="22"/>
              </w:rPr>
              <w:t xml:space="preserve">s </w:t>
            </w:r>
            <w:r w:rsidR="002B7644">
              <w:rPr>
                <w:b/>
                <w:bCs/>
                <w:szCs w:val="22"/>
              </w:rPr>
              <w:t>urbaines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B47E69">
        <w:tc>
          <w:tcPr>
            <w:tcW w:w="5000" w:type="pct"/>
            <w:shd w:val="clear" w:color="auto" w:fill="F3F3F3"/>
          </w:tcPr>
          <w:p w14:paraId="3C2C2A88" w14:textId="6D83A908" w:rsidR="00DD061E" w:rsidRPr="00DD061E" w:rsidRDefault="002B7644" w:rsidP="00DD061E">
            <w:pPr>
              <w:pStyle w:val="ListParagraph"/>
              <w:spacing w:before="120"/>
              <w:rPr>
                <w:b/>
              </w:rPr>
            </w:pPr>
            <w:r w:rsidRPr="002B7644">
              <w:rPr>
                <w:rFonts w:cstheme="majorHAnsi"/>
                <w:b/>
              </w:rPr>
              <w:t>Utiliser les compétences et les démarches d’investigation liées à l’étude des sciences humaines et sociales pour poser des questions, recueillir, interpréter et analyser des idées; et communiquer ses résultats et ses conclusions :</w:t>
            </w:r>
          </w:p>
          <w:p w14:paraId="0568845E" w14:textId="7D8FDE69" w:rsidR="00DD061E" w:rsidRPr="00DE4D02" w:rsidRDefault="00314026" w:rsidP="00DD061E">
            <w:pPr>
              <w:pStyle w:val="Elaborationquestions"/>
            </w:pPr>
            <w:r w:rsidRPr="00D85BAE">
              <w:rPr>
                <w:rFonts w:cstheme="majorHAnsi"/>
              </w:rPr>
              <w:t>Compétences clés </w:t>
            </w:r>
            <w:r w:rsidRPr="00D85BAE">
              <w:rPr>
                <w:rFonts w:cs="Arial"/>
              </w:rPr>
              <w:t>:</w:t>
            </w:r>
          </w:p>
          <w:p w14:paraId="12C796DC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>Tirer des conclusions sur un problème, un enjeu ou un sujet</w:t>
            </w:r>
          </w:p>
          <w:p w14:paraId="0DF332EB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>Évaluer et défendre divers points de vue sur un problème, un enjeu ou un sujet</w:t>
            </w:r>
          </w:p>
          <w:p w14:paraId="45F50F4D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>Faire preuve d’initiative en planifiant, en adoptant et en évaluant des stratégies pour aborder un problème ou un enjeu</w:t>
            </w:r>
          </w:p>
          <w:p w14:paraId="6558E412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 xml:space="preserve">Relever et clarifier un problème ou un enjeu </w:t>
            </w:r>
          </w:p>
          <w:p w14:paraId="1E328459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>Évaluer et organiser les données recueillies (p. ex. à partir de plans, de sommaires, de notes, de schémas chronologiques, de tableaux)</w:t>
            </w:r>
          </w:p>
          <w:p w14:paraId="130BFCD6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>Interpréter l’information et les données provenant de cartes, graphiques et tableaux divers</w:t>
            </w:r>
          </w:p>
          <w:p w14:paraId="4DEF618D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>Interpréter et présenter de l’information ou des données sous diverses formes (p. ex. orale, écrite et graphique)</w:t>
            </w:r>
          </w:p>
          <w:p w14:paraId="737E46D2" w14:textId="77777777" w:rsidR="002B7644" w:rsidRPr="001C0FC7" w:rsidRDefault="002B7644" w:rsidP="002B7644">
            <w:pPr>
              <w:pStyle w:val="ListparagraphidentLastsub-bullet"/>
              <w:rPr>
                <w:rFonts w:cstheme="majorHAnsi"/>
              </w:rPr>
            </w:pPr>
            <w:r w:rsidRPr="001C0FC7">
              <w:rPr>
                <w:rFonts w:cstheme="majorHAnsi"/>
              </w:rPr>
              <w:t>Citer ses sources avec exactitude</w:t>
            </w:r>
          </w:p>
          <w:p w14:paraId="15AABF47" w14:textId="23AB2645" w:rsidR="00DD061E" w:rsidRPr="00DE4D02" w:rsidRDefault="002B7644" w:rsidP="002B7644">
            <w:pPr>
              <w:pStyle w:val="ListparagraphidentLastsub-bullet"/>
            </w:pPr>
            <w:r w:rsidRPr="001C0FC7">
              <w:rPr>
                <w:rFonts w:cstheme="majorHAnsi"/>
              </w:rPr>
              <w:t xml:space="preserve">Préparer des graphiques, des tableaux et des cartes pour communiquer des idées et de l’information, en démontrant un usage approprié </w:t>
            </w:r>
            <w:r>
              <w:rPr>
                <w:rFonts w:cstheme="majorHAnsi"/>
              </w:rPr>
              <w:br/>
            </w:r>
            <w:r w:rsidRPr="001C0FC7">
              <w:rPr>
                <w:rFonts w:cstheme="majorHAnsi"/>
              </w:rPr>
              <w:t>des grilles, des échelles, des légendes et des courbes</w:t>
            </w:r>
          </w:p>
          <w:p w14:paraId="5278B1F3" w14:textId="06FFDD69" w:rsidR="00DD061E" w:rsidRPr="00DD061E" w:rsidRDefault="002B7644" w:rsidP="00DD061E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Identifier les éléments de changement et de continuité dans l’évolution des espaces urbains (continuité et changement) :</w:t>
            </w:r>
          </w:p>
          <w:p w14:paraId="7B4FA917" w14:textId="798D0547" w:rsidR="00DD061E" w:rsidRPr="00DE4D02" w:rsidRDefault="00314026" w:rsidP="00DD061E">
            <w:pPr>
              <w:pStyle w:val="Elaborationquestions"/>
            </w:pPr>
            <w:r w:rsidRPr="00D85BAE">
              <w:rPr>
                <w:rFonts w:cstheme="majorHAnsi"/>
              </w:rPr>
              <w:t>Exemple</w:t>
            </w:r>
            <w:r w:rsidR="002B7644"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 xml:space="preserve"> d’activité</w:t>
            </w:r>
            <w:r w:rsidR="002B7644"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> </w:t>
            </w:r>
            <w:r w:rsidRPr="00D85BAE">
              <w:rPr>
                <w:rFonts w:cs="Arial"/>
              </w:rPr>
              <w:t>:</w:t>
            </w:r>
          </w:p>
          <w:p w14:paraId="38B079CB" w14:textId="77E7ED85" w:rsidR="002B7644" w:rsidRPr="002B7644" w:rsidRDefault="002B7644" w:rsidP="002B7644">
            <w:pPr>
              <w:pStyle w:val="ListparagraphidentLastsub-bullet"/>
            </w:pPr>
            <w:r w:rsidRPr="002B7644">
              <w:t xml:space="preserve">Étudier des cartes et photos historiques à travers le temps et considérer ce qui a changé et ce qui est resté identique. Déterminer les facteurs </w:t>
            </w:r>
            <w:r>
              <w:br/>
            </w:r>
            <w:r w:rsidRPr="002B7644">
              <w:t>de changement, le cas échéant</w:t>
            </w:r>
          </w:p>
          <w:p w14:paraId="3A16D430" w14:textId="178FF9F6" w:rsidR="00DD061E" w:rsidRPr="00DE4D02" w:rsidRDefault="002B7644" w:rsidP="002B7644">
            <w:pPr>
              <w:pStyle w:val="ListparagraphidentLastsub-bullet"/>
            </w:pPr>
            <w:r w:rsidRPr="002B7644">
              <w:t xml:space="preserve">Comparer deux exemples de planification urbaine, l’un d’hier et l’autre d’aujourd’hui, pour une même ville, afin de comprendre ce qui a changé </w:t>
            </w:r>
            <w:r>
              <w:br/>
            </w:r>
            <w:r w:rsidRPr="002B7644">
              <w:t>et ce qui est resté identique sur le plan des décisions et de la valeur accordée à l’espace</w:t>
            </w:r>
          </w:p>
          <w:p w14:paraId="4A152BB2" w14:textId="0975028D" w:rsidR="00DD061E" w:rsidRPr="00DD061E" w:rsidRDefault="002B7644" w:rsidP="00DD061E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 xml:space="preserve">Déterminer et évaluer les causes et les conséquences à court et long terme, ainsi que les conséquences prévues et imprévues, </w:t>
            </w:r>
            <w:r>
              <w:rPr>
                <w:b/>
              </w:rPr>
              <w:br/>
            </w:r>
            <w:r w:rsidRPr="002B7644">
              <w:rPr>
                <w:b/>
              </w:rPr>
              <w:t>des décisions de politiques publiques liées aux zones urbaines (cause et conséquence) :</w:t>
            </w:r>
          </w:p>
          <w:p w14:paraId="0B3E81D1" w14:textId="2023B2F5" w:rsidR="00DD061E" w:rsidRPr="00DE4D02" w:rsidRDefault="002B7644" w:rsidP="00DD061E">
            <w:pPr>
              <w:pStyle w:val="Elaborationquestions"/>
            </w:pPr>
            <w:r w:rsidRPr="00D85BAE">
              <w:rPr>
                <w:rFonts w:cstheme="majorHAnsi"/>
              </w:rPr>
              <w:t>Exemple</w:t>
            </w:r>
            <w:r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 xml:space="preserve"> d’activité</w:t>
            </w:r>
            <w:r>
              <w:rPr>
                <w:rFonts w:cstheme="majorHAnsi"/>
              </w:rPr>
              <w:t>s</w:t>
            </w:r>
            <w:r w:rsidRPr="00D85BAE">
              <w:rPr>
                <w:rFonts w:cstheme="majorHAnsi"/>
              </w:rPr>
              <w:t> </w:t>
            </w:r>
            <w:r w:rsidRPr="00D85BAE">
              <w:rPr>
                <w:rFonts w:cs="Arial"/>
              </w:rPr>
              <w:t>:</w:t>
            </w:r>
          </w:p>
          <w:p w14:paraId="2B976037" w14:textId="77777777" w:rsidR="002B7644" w:rsidRPr="002B7644" w:rsidRDefault="002B7644" w:rsidP="002B7644">
            <w:pPr>
              <w:pStyle w:val="ListparagraphidentLastsub-bullet"/>
            </w:pPr>
            <w:r w:rsidRPr="002B7644">
              <w:t>Étudier quelles conséquences, prévues et imprévues, a entraînées la décision de ne pas construire d’autoroute au centre-ville de Vancouver dans les années 1970</w:t>
            </w:r>
          </w:p>
          <w:p w14:paraId="5F8EB9C3" w14:textId="616A24BC" w:rsidR="00314026" w:rsidRPr="00314026" w:rsidRDefault="002B7644" w:rsidP="002B7644">
            <w:pPr>
              <w:pStyle w:val="ListparagraphidentLastsub-bullet"/>
              <w:spacing w:after="120"/>
            </w:pPr>
            <w:r w:rsidRPr="002B7644">
              <w:t>Analyser les facteurs ayant influencé les décisions prises dans un cas particulier de planification urbaine</w:t>
            </w:r>
          </w:p>
        </w:tc>
      </w:tr>
    </w:tbl>
    <w:p w14:paraId="73AB1BB8" w14:textId="3A5559DF" w:rsidR="00F01051" w:rsidRDefault="00F01051" w:rsidP="00CC7A5B">
      <w:pPr>
        <w:spacing w:line="160" w:lineRule="exact"/>
        <w:rPr>
          <w:sz w:val="11"/>
          <w:szCs w:val="11"/>
        </w:rPr>
      </w:pPr>
    </w:p>
    <w:p w14:paraId="469A1A51" w14:textId="77777777" w:rsidR="002D1B3A" w:rsidRDefault="002D1B3A" w:rsidP="00CC7A5B">
      <w:pPr>
        <w:spacing w:line="160" w:lineRule="exact"/>
        <w:rPr>
          <w:sz w:val="11"/>
          <w:szCs w:val="11"/>
        </w:rPr>
      </w:pPr>
    </w:p>
    <w:p w14:paraId="20F081B3" w14:textId="77777777" w:rsidR="002D1B3A" w:rsidRDefault="002D1B3A" w:rsidP="00CC7A5B">
      <w:pPr>
        <w:spacing w:line="160" w:lineRule="exact"/>
        <w:rPr>
          <w:sz w:val="11"/>
          <w:szCs w:val="11"/>
        </w:rPr>
      </w:pPr>
    </w:p>
    <w:p w14:paraId="2C46E121" w14:textId="77777777" w:rsidR="00654624" w:rsidRPr="00CC7A5B" w:rsidRDefault="00654624" w:rsidP="00CC7A5B">
      <w:pPr>
        <w:spacing w:line="160" w:lineRule="exact"/>
        <w:rPr>
          <w:sz w:val="11"/>
          <w:szCs w:val="11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6206C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5D13FEB" w:rsidR="00F9586F" w:rsidRPr="006206CC" w:rsidRDefault="0059376F" w:rsidP="002B7644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6206CC">
              <w:rPr>
                <w:b/>
                <w:color w:val="FFFFFF" w:themeColor="background1"/>
              </w:rPr>
              <w:lastRenderedPageBreak/>
              <w:tab/>
            </w:r>
            <w:r w:rsidR="00680D0C" w:rsidRPr="006206CC">
              <w:rPr>
                <w:b/>
                <w:color w:val="FFFFFF" w:themeColor="background1"/>
              </w:rPr>
              <w:t xml:space="preserve">SCIENCES HUMAINES ET SOCIALES — </w:t>
            </w:r>
            <w:r w:rsidR="000B4C45" w:rsidRPr="000B4C45">
              <w:rPr>
                <w:b/>
                <w:bCs/>
                <w:color w:val="FFFFFF" w:themeColor="background1"/>
              </w:rPr>
              <w:t>Étude</w:t>
            </w:r>
            <w:r w:rsidR="00314026">
              <w:rPr>
                <w:b/>
                <w:bCs/>
                <w:color w:val="FFFFFF" w:themeColor="background1"/>
              </w:rPr>
              <w:t xml:space="preserve">s </w:t>
            </w:r>
            <w:r w:rsidR="002B7644">
              <w:rPr>
                <w:b/>
                <w:bCs/>
                <w:color w:val="FFFFFF" w:themeColor="background1"/>
              </w:rPr>
              <w:t>urbaines</w:t>
            </w:r>
            <w:r w:rsidRPr="006206CC">
              <w:rPr>
                <w:b/>
                <w:color w:val="FFFFFF" w:themeColor="background1"/>
              </w:rPr>
              <w:br/>
              <w:t>Conten</w:t>
            </w:r>
            <w:r w:rsidR="00737D76" w:rsidRPr="006206CC">
              <w:rPr>
                <w:b/>
                <w:color w:val="FFFFFF" w:themeColor="background1"/>
              </w:rPr>
              <w:t>u</w:t>
            </w:r>
            <w:r w:rsidRPr="006206CC">
              <w:rPr>
                <w:b/>
                <w:color w:val="FFFFFF" w:themeColor="background1"/>
              </w:rPr>
              <w:t xml:space="preserve"> – </w:t>
            </w:r>
            <w:r w:rsidR="00737D76" w:rsidRPr="006206CC">
              <w:rPr>
                <w:b/>
                <w:color w:val="FFFFFF" w:themeColor="background1"/>
              </w:rPr>
              <w:t>Approfondissements</w:t>
            </w:r>
            <w:r w:rsidRPr="006206CC">
              <w:rPr>
                <w:b/>
                <w:color w:val="FFFFFF" w:themeColor="background1"/>
              </w:rPr>
              <w:tab/>
            </w:r>
            <w:r w:rsidR="005B1748" w:rsidRPr="006206CC">
              <w:rPr>
                <w:b/>
                <w:color w:val="FFFFFF" w:themeColor="background1"/>
              </w:rPr>
              <w:t>1</w:t>
            </w:r>
            <w:r w:rsidR="00FC278A" w:rsidRPr="006206CC">
              <w:rPr>
                <w:b/>
                <w:color w:val="FFFFFF" w:themeColor="background1"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6206CC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6206CC" w14:paraId="7A2216BF" w14:textId="77777777">
        <w:tc>
          <w:tcPr>
            <w:tcW w:w="5000" w:type="pct"/>
            <w:shd w:val="clear" w:color="auto" w:fill="F3F3F3"/>
          </w:tcPr>
          <w:p w14:paraId="02EE9F54" w14:textId="64C43C35" w:rsidR="0011120B" w:rsidRPr="0011120B" w:rsidRDefault="002B7644" w:rsidP="0011120B">
            <w:pPr>
              <w:pStyle w:val="ListParagraph"/>
              <w:spacing w:before="120"/>
              <w:rPr>
                <w:b/>
              </w:rPr>
            </w:pPr>
            <w:r w:rsidRPr="002B7644">
              <w:rPr>
                <w:b/>
              </w:rPr>
              <w:t>Urbanisation en tant que phénomène mondial :</w:t>
            </w:r>
          </w:p>
          <w:p w14:paraId="1762FA7D" w14:textId="572153BA" w:rsidR="0011120B" w:rsidRPr="00DE4D02" w:rsidRDefault="00314026" w:rsidP="0011120B">
            <w:pPr>
              <w:pStyle w:val="Elaborationquestions"/>
            </w:pPr>
            <w:r w:rsidRPr="00D85BAE">
              <w:rPr>
                <w:rFonts w:cs="Arial"/>
              </w:rPr>
              <w:t>Exemples de sujets :</w:t>
            </w:r>
          </w:p>
          <w:p w14:paraId="778C5DCD" w14:textId="77777777" w:rsidR="002B7644" w:rsidRPr="002B7644" w:rsidRDefault="002B7644" w:rsidP="002B7644">
            <w:pPr>
              <w:pStyle w:val="ListParagraphindent"/>
              <w:spacing w:after="20"/>
            </w:pPr>
            <w:r w:rsidRPr="002B7644">
              <w:t>tendances mondiales de l’urbanisation et études de cas des récentes décennies</w:t>
            </w:r>
          </w:p>
          <w:p w14:paraId="14C33251" w14:textId="5EF78C50" w:rsidR="0011120B" w:rsidRPr="00DE4D02" w:rsidRDefault="002B7644" w:rsidP="002B7644">
            <w:pPr>
              <w:pStyle w:val="ListparagraphidentLastsub-bullet"/>
              <w:spacing w:after="20"/>
            </w:pPr>
            <w:proofErr w:type="spellStart"/>
            <w:r w:rsidRPr="002B7644">
              <w:t>transnationalisme</w:t>
            </w:r>
            <w:proofErr w:type="spellEnd"/>
            <w:r w:rsidRPr="002B7644">
              <w:t xml:space="preserve"> et interdépendance entre les centres urbains</w:t>
            </w:r>
          </w:p>
          <w:p w14:paraId="1F6E02C7" w14:textId="3A9EF947" w:rsidR="0011120B" w:rsidRPr="002D1B3A" w:rsidRDefault="002B7644" w:rsidP="00314026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Tendance historique de l’établissement des populations dans les centres urbains :</w:t>
            </w:r>
          </w:p>
          <w:p w14:paraId="5A6D4C5B" w14:textId="77777777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2E172483" w14:textId="37DF9AE3" w:rsidR="0011120B" w:rsidRPr="00DE4D02" w:rsidRDefault="002B7644" w:rsidP="0011120B">
            <w:pPr>
              <w:pStyle w:val="ListParagraphindent"/>
            </w:pPr>
            <w:r w:rsidRPr="001C0FC7">
              <w:t>tendances historiques :</w:t>
            </w:r>
          </w:p>
          <w:p w14:paraId="02849507" w14:textId="77777777" w:rsidR="002B7644" w:rsidRPr="002B7644" w:rsidRDefault="002B7644" w:rsidP="002B7644">
            <w:pPr>
              <w:pStyle w:val="ThirdBullet"/>
            </w:pPr>
            <w:r w:rsidRPr="002B7644">
              <w:t>urbanisation</w:t>
            </w:r>
            <w:bookmarkStart w:id="0" w:name="_GoBack"/>
            <w:bookmarkEnd w:id="0"/>
          </w:p>
          <w:p w14:paraId="3355E045" w14:textId="77777777" w:rsidR="002B7644" w:rsidRPr="002B7644" w:rsidRDefault="002B7644" w:rsidP="002B7644">
            <w:pPr>
              <w:pStyle w:val="ThirdBullet"/>
            </w:pPr>
            <w:r w:rsidRPr="002B7644">
              <w:t>migration entre campagne et ville</w:t>
            </w:r>
          </w:p>
          <w:p w14:paraId="00898FCA" w14:textId="77777777" w:rsidR="002B7644" w:rsidRPr="002B7644" w:rsidRDefault="002B7644" w:rsidP="002B7644">
            <w:pPr>
              <w:pStyle w:val="ThirdBullet"/>
            </w:pPr>
            <w:r w:rsidRPr="002B7644">
              <w:t>émergence des banlieues (périurbanisation)</w:t>
            </w:r>
          </w:p>
          <w:p w14:paraId="047F7063" w14:textId="385DDEE6" w:rsidR="00314026" w:rsidRPr="00CE487C" w:rsidRDefault="002B7644" w:rsidP="002B7644">
            <w:pPr>
              <w:pStyle w:val="ThirdBullet"/>
            </w:pPr>
            <w:r w:rsidRPr="002B7644">
              <w:t>embourgeoisement</w:t>
            </w:r>
          </w:p>
          <w:p w14:paraId="48E08D2E" w14:textId="1C4E4A17" w:rsidR="0011120B" w:rsidRPr="00DE4D02" w:rsidRDefault="002B7644" w:rsidP="0011120B">
            <w:pPr>
              <w:pStyle w:val="ListParagraphindent"/>
            </w:pPr>
            <w:r w:rsidRPr="001C0FC7">
              <w:t>modèles d’utilisation de l’espace urbain en géographie urbaine :</w:t>
            </w:r>
          </w:p>
          <w:p w14:paraId="6A3F951B" w14:textId="77777777" w:rsidR="002B7644" w:rsidRPr="002B7644" w:rsidRDefault="002B7644" w:rsidP="002B7644">
            <w:pPr>
              <w:pStyle w:val="ThirdBullet"/>
            </w:pPr>
            <w:r w:rsidRPr="002B7644">
              <w:t>modèle de la zone concentrique</w:t>
            </w:r>
          </w:p>
          <w:p w14:paraId="24481BEE" w14:textId="77777777" w:rsidR="002B7644" w:rsidRPr="002B7644" w:rsidRDefault="002B7644" w:rsidP="002B7644">
            <w:pPr>
              <w:pStyle w:val="ThirdBullet"/>
            </w:pPr>
            <w:r w:rsidRPr="002B7644">
              <w:t xml:space="preserve">modèle de </w:t>
            </w:r>
            <w:proofErr w:type="spellStart"/>
            <w:r w:rsidRPr="002B7644">
              <w:t>Hoyt</w:t>
            </w:r>
            <w:proofErr w:type="spellEnd"/>
            <w:r w:rsidRPr="002B7644">
              <w:t xml:space="preserve"> </w:t>
            </w:r>
          </w:p>
          <w:p w14:paraId="7D643B3F" w14:textId="77777777" w:rsidR="002B7644" w:rsidRPr="002B7644" w:rsidRDefault="002B7644" w:rsidP="002B7644">
            <w:pPr>
              <w:pStyle w:val="ThirdBullet"/>
            </w:pPr>
            <w:r w:rsidRPr="002B7644">
              <w:t>modèle des noyaux multiples</w:t>
            </w:r>
          </w:p>
          <w:p w14:paraId="705C4EB4" w14:textId="0941CC29" w:rsidR="00314026" w:rsidRPr="00314026" w:rsidRDefault="002B7644" w:rsidP="002B7644">
            <w:pPr>
              <w:pStyle w:val="ThirdBullet"/>
            </w:pPr>
            <w:r w:rsidRPr="002B7644">
              <w:t>modèle des domaines urbains</w:t>
            </w:r>
          </w:p>
          <w:p w14:paraId="14DAF786" w14:textId="778DD73E" w:rsidR="0011120B" w:rsidRPr="00DE4D02" w:rsidRDefault="002B7644" w:rsidP="00E5726C">
            <w:pPr>
              <w:pStyle w:val="ListparagraphidentLastsub-bullet"/>
              <w:spacing w:after="40"/>
            </w:pPr>
            <w:r w:rsidRPr="001C0FC7">
              <w:t xml:space="preserve">types d’utilisation de l’espace urbain : </w:t>
            </w:r>
          </w:p>
          <w:p w14:paraId="4C1A3533" w14:textId="77777777" w:rsidR="002B7644" w:rsidRPr="002B7644" w:rsidRDefault="002B7644" w:rsidP="002B7644">
            <w:pPr>
              <w:pStyle w:val="ThirdBullet"/>
            </w:pPr>
            <w:r w:rsidRPr="002B7644">
              <w:t>résidentiel</w:t>
            </w:r>
          </w:p>
          <w:p w14:paraId="2477C450" w14:textId="77777777" w:rsidR="002B7644" w:rsidRPr="002B7644" w:rsidRDefault="002B7644" w:rsidP="002B7644">
            <w:pPr>
              <w:pStyle w:val="ThirdBullet"/>
            </w:pPr>
            <w:r w:rsidRPr="002B7644">
              <w:t>transports</w:t>
            </w:r>
          </w:p>
          <w:p w14:paraId="21B30249" w14:textId="77777777" w:rsidR="002B7644" w:rsidRPr="002B7644" w:rsidRDefault="002B7644" w:rsidP="002B7644">
            <w:pPr>
              <w:pStyle w:val="ThirdBullet"/>
            </w:pPr>
            <w:r w:rsidRPr="002B7644">
              <w:t>institutionnel</w:t>
            </w:r>
          </w:p>
          <w:p w14:paraId="6B6B8076" w14:textId="77777777" w:rsidR="002B7644" w:rsidRPr="002B7644" w:rsidRDefault="002B7644" w:rsidP="002B7644">
            <w:pPr>
              <w:pStyle w:val="ThirdBullet"/>
            </w:pPr>
            <w:r w:rsidRPr="002B7644">
              <w:t>récréatif</w:t>
            </w:r>
          </w:p>
          <w:p w14:paraId="162C15D2" w14:textId="77777777" w:rsidR="002B7644" w:rsidRPr="002B7644" w:rsidRDefault="002B7644" w:rsidP="002B7644">
            <w:pPr>
              <w:pStyle w:val="ThirdBullet"/>
            </w:pPr>
            <w:r w:rsidRPr="002B7644">
              <w:t>commercial</w:t>
            </w:r>
          </w:p>
          <w:p w14:paraId="0A1C4CF3" w14:textId="344DE2F2" w:rsidR="002B7644" w:rsidRPr="002B7644" w:rsidRDefault="002B7644" w:rsidP="002B7644">
            <w:pPr>
              <w:pStyle w:val="ThirdBullet"/>
            </w:pPr>
            <w:r w:rsidRPr="002B7644">
              <w:t>industriel</w:t>
            </w:r>
          </w:p>
          <w:p w14:paraId="120CD813" w14:textId="3772C912" w:rsidR="002D1B3A" w:rsidRPr="002D1B3A" w:rsidRDefault="002B7644" w:rsidP="00314026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Gouvernance locale et régionale en Colombie-Britannique et liens avec les autres paliers de gouvernement :</w:t>
            </w:r>
          </w:p>
          <w:p w14:paraId="27456C6F" w14:textId="0D5BB3C9" w:rsidR="0011120B" w:rsidRPr="00DE4D02" w:rsidRDefault="0011120B" w:rsidP="0011120B">
            <w:pPr>
              <w:pStyle w:val="Elaborationquestions"/>
            </w:pPr>
            <w:r w:rsidRPr="00DE4D02">
              <w:t>Exemples de sujets :</w:t>
            </w:r>
          </w:p>
          <w:p w14:paraId="2D5DAEA6" w14:textId="06D6B9AB" w:rsidR="0011120B" w:rsidRPr="00DE4D02" w:rsidRDefault="002B7644" w:rsidP="0011120B">
            <w:pPr>
              <w:pStyle w:val="ListParagraphindent"/>
            </w:pPr>
            <w:r w:rsidRPr="001C0FC7">
              <w:t>fonctionnement des villes dans un réseau de systèmes régionaux, nationaux et mondial :</w:t>
            </w:r>
          </w:p>
          <w:p w14:paraId="5761E98F" w14:textId="77777777" w:rsidR="002B7644" w:rsidRPr="002B7644" w:rsidRDefault="002B7644" w:rsidP="002B7644">
            <w:pPr>
              <w:pStyle w:val="ThirdBullet"/>
            </w:pPr>
            <w:r w:rsidRPr="002B7644">
              <w:t>partage de services</w:t>
            </w:r>
          </w:p>
          <w:p w14:paraId="6249F3D4" w14:textId="77777777" w:rsidR="002B7644" w:rsidRPr="002B7644" w:rsidRDefault="002B7644" w:rsidP="002B7644">
            <w:pPr>
              <w:pStyle w:val="ThirdBullet"/>
            </w:pPr>
            <w:r w:rsidRPr="002B7644">
              <w:t>modèles de financement</w:t>
            </w:r>
          </w:p>
          <w:p w14:paraId="681D72FD" w14:textId="4A1C06E6" w:rsidR="00314026" w:rsidRPr="00314026" w:rsidRDefault="002B7644" w:rsidP="002B7644">
            <w:pPr>
              <w:pStyle w:val="ThirdBullet"/>
            </w:pPr>
            <w:r w:rsidRPr="002B7644">
              <w:t>élections</w:t>
            </w:r>
          </w:p>
          <w:p w14:paraId="52609DBD" w14:textId="77777777" w:rsidR="002B7644" w:rsidRPr="002B7644" w:rsidRDefault="002B7644" w:rsidP="002B7644">
            <w:pPr>
              <w:pStyle w:val="ListParagraphindent"/>
            </w:pPr>
            <w:r w:rsidRPr="002B7644">
              <w:t xml:space="preserve">Fédération canadienne des municipalités </w:t>
            </w:r>
          </w:p>
          <w:p w14:paraId="5F9034D3" w14:textId="77777777" w:rsidR="002B7644" w:rsidRPr="002B7644" w:rsidRDefault="002B7644" w:rsidP="002B7644">
            <w:pPr>
              <w:pStyle w:val="ListParagraphindent"/>
            </w:pPr>
            <w:r w:rsidRPr="002B7644">
              <w:t>Union des municipalités de la Colombie-Britannique</w:t>
            </w:r>
          </w:p>
          <w:p w14:paraId="049CF8B9" w14:textId="29F12946" w:rsidR="00314026" w:rsidRPr="00DE4D02" w:rsidRDefault="002B7644" w:rsidP="00314026">
            <w:pPr>
              <w:pStyle w:val="ListparagraphidentLastsub-bullet"/>
              <w:spacing w:after="120"/>
            </w:pPr>
            <w:r w:rsidRPr="002B7644">
              <w:t>Liens avec les Premières Nations visées par un traité, les bandes et la Nation métisse de la Colombie-Britannique</w:t>
            </w:r>
          </w:p>
          <w:p w14:paraId="14FE71E1" w14:textId="7CE9F17C" w:rsidR="00314026" w:rsidRPr="002D1B3A" w:rsidRDefault="002B7644" w:rsidP="002B7644">
            <w:pPr>
              <w:pStyle w:val="ListParagraph"/>
              <w:spacing w:before="240"/>
              <w:rPr>
                <w:b/>
              </w:rPr>
            </w:pPr>
            <w:r w:rsidRPr="002B7644">
              <w:rPr>
                <w:b/>
              </w:rPr>
              <w:lastRenderedPageBreak/>
              <w:t>Fonctions du gouvernement local et régional :</w:t>
            </w:r>
          </w:p>
          <w:p w14:paraId="00637FB6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3F4434A4" w14:textId="77777777" w:rsidR="002B7644" w:rsidRPr="002B7644" w:rsidRDefault="002B7644" w:rsidP="002B7644">
            <w:pPr>
              <w:pStyle w:val="ListParagraphindent"/>
            </w:pPr>
            <w:r w:rsidRPr="002B7644">
              <w:t>infrastructure (p. ex. eau, déchets)</w:t>
            </w:r>
          </w:p>
          <w:p w14:paraId="36A45A56" w14:textId="77777777" w:rsidR="002B7644" w:rsidRPr="002B7644" w:rsidRDefault="002B7644" w:rsidP="002B7644">
            <w:pPr>
              <w:pStyle w:val="ListParagraphindent"/>
            </w:pPr>
            <w:r w:rsidRPr="002B7644">
              <w:t>logement social</w:t>
            </w:r>
          </w:p>
          <w:p w14:paraId="5A2A5827" w14:textId="77777777" w:rsidR="002B7644" w:rsidRPr="002B7644" w:rsidRDefault="002B7644" w:rsidP="002B7644">
            <w:pPr>
              <w:pStyle w:val="ListParagraphindent"/>
            </w:pPr>
            <w:r w:rsidRPr="002B7644">
              <w:t>taxation</w:t>
            </w:r>
          </w:p>
          <w:p w14:paraId="2584B1E0" w14:textId="77777777" w:rsidR="002B7644" w:rsidRPr="002B7644" w:rsidRDefault="002B7644" w:rsidP="002B7644">
            <w:pPr>
              <w:pStyle w:val="ListParagraphindent"/>
            </w:pPr>
            <w:r w:rsidRPr="002B7644">
              <w:t>développement économique</w:t>
            </w:r>
          </w:p>
          <w:p w14:paraId="6EA8B2D1" w14:textId="77777777" w:rsidR="002B7644" w:rsidRPr="002B7644" w:rsidRDefault="002B7644" w:rsidP="002B7644">
            <w:pPr>
              <w:pStyle w:val="ListParagraphindent"/>
            </w:pPr>
            <w:r w:rsidRPr="002B7644">
              <w:t>sécurité publique</w:t>
            </w:r>
          </w:p>
          <w:p w14:paraId="16AA6D33" w14:textId="2F4044DA" w:rsidR="00314026" w:rsidRPr="00314026" w:rsidRDefault="002B7644" w:rsidP="00E2594A">
            <w:pPr>
              <w:pStyle w:val="ListparagraphidentLastsub-bullet"/>
              <w:spacing w:after="120"/>
            </w:pPr>
            <w:r w:rsidRPr="002B7644">
              <w:t>appui aux organisations communautaires, comme les centres d’amitié</w:t>
            </w:r>
          </w:p>
          <w:p w14:paraId="232C0B28" w14:textId="6DBF4995" w:rsidR="00314026" w:rsidRPr="002D1B3A" w:rsidRDefault="002B7644" w:rsidP="002B7644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Planification urbaine et aménagement urbain :</w:t>
            </w:r>
            <w:r w:rsidR="00314026" w:rsidRPr="00314026">
              <w:rPr>
                <w:b/>
              </w:rPr>
              <w:t xml:space="preserve"> </w:t>
            </w:r>
          </w:p>
          <w:p w14:paraId="6BB4B7E6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7D676890" w14:textId="77777777" w:rsidR="002B7644" w:rsidRPr="002B7644" w:rsidRDefault="002B7644" w:rsidP="002B7644">
            <w:pPr>
              <w:pStyle w:val="ListParagraphindent"/>
            </w:pPr>
            <w:r w:rsidRPr="002B7644">
              <w:t>maximisation des avantages et réponse aux problèmes des centres urbains</w:t>
            </w:r>
          </w:p>
          <w:p w14:paraId="0323516E" w14:textId="77777777" w:rsidR="002B7644" w:rsidRPr="002B7644" w:rsidRDefault="002B7644" w:rsidP="002B7644">
            <w:pPr>
              <w:pStyle w:val="ListParagraphindent"/>
            </w:pPr>
            <w:r w:rsidRPr="002B7644">
              <w:t>participation des peuples autochtones à la planification urbaine</w:t>
            </w:r>
          </w:p>
          <w:p w14:paraId="7CF798D6" w14:textId="77777777" w:rsidR="002B7644" w:rsidRPr="002B7644" w:rsidRDefault="002B7644" w:rsidP="002B7644">
            <w:pPr>
              <w:pStyle w:val="ListParagraphindent"/>
            </w:pPr>
            <w:r w:rsidRPr="002B7644">
              <w:t>habitabilité et pérennité</w:t>
            </w:r>
          </w:p>
          <w:p w14:paraId="41AF4C92" w14:textId="77777777" w:rsidR="002B7644" w:rsidRPr="002B7644" w:rsidRDefault="002B7644" w:rsidP="002B7644">
            <w:pPr>
              <w:pStyle w:val="ListParagraphindent"/>
            </w:pPr>
            <w:r w:rsidRPr="002B7644">
              <w:t>espaces privés et publics</w:t>
            </w:r>
          </w:p>
          <w:p w14:paraId="0EFFDF81" w14:textId="7D194D22" w:rsidR="00314026" w:rsidRPr="00DE4D02" w:rsidRDefault="002B7644" w:rsidP="002B7644">
            <w:pPr>
              <w:pStyle w:val="ListParagraphindent"/>
            </w:pPr>
            <w:r w:rsidRPr="002B7644">
              <w:t>zonages et règlements</w:t>
            </w:r>
          </w:p>
          <w:p w14:paraId="4716D309" w14:textId="63322EB1" w:rsidR="00314026" w:rsidRPr="00DE4D02" w:rsidRDefault="002B7644" w:rsidP="00314026">
            <w:pPr>
              <w:pStyle w:val="Elaborationquestions"/>
            </w:pPr>
            <w:r>
              <w:rPr>
                <w:rFonts w:cs="Arial"/>
              </w:rPr>
              <w:t>Question clé :</w:t>
            </w:r>
          </w:p>
          <w:p w14:paraId="570AAE63" w14:textId="6B8AA1AE" w:rsidR="00314026" w:rsidRPr="00DE4D02" w:rsidRDefault="002B7644" w:rsidP="00314026">
            <w:pPr>
              <w:pStyle w:val="ListparagraphidentLastsub-bullet"/>
              <w:spacing w:after="120"/>
            </w:pPr>
            <w:r w:rsidRPr="002B7644">
              <w:t>Quels liens existe-t-il entre urbanisation et pérennité?</w:t>
            </w:r>
          </w:p>
          <w:p w14:paraId="3703D8A8" w14:textId="0DF22A03" w:rsidR="00314026" w:rsidRPr="002B7644" w:rsidRDefault="002B7644" w:rsidP="009A014E">
            <w:pPr>
              <w:pStyle w:val="ListParagraph"/>
              <w:spacing w:before="120"/>
              <w:rPr>
                <w:b/>
              </w:rPr>
            </w:pPr>
            <w:r w:rsidRPr="002B7644">
              <w:rPr>
                <w:rFonts w:cs="Arial"/>
                <w:b/>
              </w:rPr>
              <w:t>Prise de décision liée à la planification des villes et des régions :</w:t>
            </w:r>
          </w:p>
          <w:p w14:paraId="299B83E4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2D6483A4" w14:textId="1265C846" w:rsidR="00314026" w:rsidRPr="00DE4D02" w:rsidRDefault="002B7644" w:rsidP="00314026">
            <w:pPr>
              <w:pStyle w:val="ListParagraphindent"/>
            </w:pPr>
            <w:r w:rsidRPr="001C0FC7">
              <w:t>exemples de facteurs influençant les décisions :</w:t>
            </w:r>
          </w:p>
          <w:p w14:paraId="33E56BA5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considérations politiques</w:t>
            </w:r>
          </w:p>
          <w:p w14:paraId="035F6CB7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incidences financières</w:t>
            </w:r>
          </w:p>
          <w:p w14:paraId="7EDA5ECD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pressions, perceptions et prise de conscience du public</w:t>
            </w:r>
          </w:p>
          <w:p w14:paraId="1A73D2C4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capital social</w:t>
            </w:r>
          </w:p>
          <w:p w14:paraId="68695915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ingénierie sociale</w:t>
            </w:r>
          </w:p>
          <w:p w14:paraId="2D7D427C" w14:textId="6350BFB7" w:rsidR="00314026" w:rsidRPr="00314026" w:rsidRDefault="002B7644" w:rsidP="00DF55DD">
            <w:pPr>
              <w:pStyle w:val="ThirdBullet"/>
            </w:pPr>
            <w:r w:rsidRPr="002B7644">
              <w:rPr>
                <w:iCs/>
              </w:rPr>
              <w:t>contraintes liées aux politiques</w:t>
            </w:r>
          </w:p>
          <w:p w14:paraId="396C55B4" w14:textId="69D686CF" w:rsidR="00314026" w:rsidRPr="002D1B3A" w:rsidRDefault="002B7644" w:rsidP="00314026">
            <w:pPr>
              <w:pStyle w:val="ListParagraph"/>
              <w:rPr>
                <w:b/>
              </w:rPr>
            </w:pPr>
            <w:r w:rsidRPr="002B7644">
              <w:rPr>
                <w:b/>
              </w:rPr>
              <w:t>Sujets contemporains rattachés aux études urbaines :</w:t>
            </w:r>
          </w:p>
          <w:p w14:paraId="0C20BF3F" w14:textId="77777777" w:rsidR="00314026" w:rsidRPr="00DE4D02" w:rsidRDefault="00314026" w:rsidP="00314026">
            <w:pPr>
              <w:pStyle w:val="Elaborationquestions"/>
            </w:pPr>
            <w:r w:rsidRPr="00DE4D02">
              <w:t>Exemples de sujets :</w:t>
            </w:r>
          </w:p>
          <w:p w14:paraId="60CC0D47" w14:textId="32E3CC64" w:rsidR="00314026" w:rsidRPr="00314026" w:rsidRDefault="002B7644" w:rsidP="00314026">
            <w:pPr>
              <w:pStyle w:val="ListParagraphindent"/>
            </w:pPr>
            <w:r w:rsidRPr="001C0FC7">
              <w:t xml:space="preserve">enjeux de justice sociale : </w:t>
            </w:r>
          </w:p>
          <w:p w14:paraId="0B9B9D96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qualité du logement et situation des sans-abri</w:t>
            </w:r>
          </w:p>
          <w:p w14:paraId="6BF93CF6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pauvreté</w:t>
            </w:r>
          </w:p>
          <w:p w14:paraId="53A48F6B" w14:textId="77777777" w:rsidR="002B7644" w:rsidRPr="002B7644" w:rsidRDefault="002B7644" w:rsidP="002B7644">
            <w:pPr>
              <w:pStyle w:val="ThirdBullet"/>
              <w:spacing w:before="120"/>
              <w:rPr>
                <w:iCs/>
              </w:rPr>
            </w:pPr>
            <w:r w:rsidRPr="002B7644">
              <w:rPr>
                <w:iCs/>
              </w:rPr>
              <w:lastRenderedPageBreak/>
              <w:t>criminalité</w:t>
            </w:r>
          </w:p>
          <w:p w14:paraId="6B1EE4FE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habitabilité, accessibilité financière et sécurité alimentaire</w:t>
            </w:r>
          </w:p>
          <w:p w14:paraId="18AFFB5F" w14:textId="1B43DE69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discrimination et iniquité dans l’accès aux services</w:t>
            </w:r>
          </w:p>
          <w:p w14:paraId="01C2D843" w14:textId="77777777" w:rsidR="002B7644" w:rsidRPr="00314026" w:rsidRDefault="002B7644" w:rsidP="002B7644">
            <w:pPr>
              <w:pStyle w:val="ListParagraphindent"/>
            </w:pPr>
            <w:r w:rsidRPr="001C0FC7">
              <w:t>disparité urbaine mondiale :</w:t>
            </w:r>
          </w:p>
          <w:p w14:paraId="2AEF42EE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gouvernance</w:t>
            </w:r>
          </w:p>
          <w:p w14:paraId="37E76DF8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infrastructure</w:t>
            </w:r>
          </w:p>
          <w:p w14:paraId="447294D7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accès aux services d’éducation et de santé</w:t>
            </w:r>
          </w:p>
          <w:p w14:paraId="7AC4DC76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accès à l’emploi et qualité des emplois</w:t>
            </w:r>
          </w:p>
          <w:p w14:paraId="6D4A8B55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égalité entre les sexes</w:t>
            </w:r>
          </w:p>
          <w:p w14:paraId="50929AEA" w14:textId="54B82E45" w:rsidR="002B7644" w:rsidRPr="00314026" w:rsidRDefault="002B7644" w:rsidP="002B7644">
            <w:pPr>
              <w:pStyle w:val="ListParagraphindent"/>
            </w:pPr>
            <w:r w:rsidRPr="001C0FC7">
              <w:t>facteurs environnementaux :</w:t>
            </w:r>
          </w:p>
          <w:p w14:paraId="0A5BD3CE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changements climatiques causant l’élévation du niveau des mers, activité orageuse accrue</w:t>
            </w:r>
          </w:p>
          <w:p w14:paraId="7FD935C8" w14:textId="77777777" w:rsidR="002B7644" w:rsidRPr="002B7644" w:rsidRDefault="002B7644" w:rsidP="002B7644">
            <w:pPr>
              <w:pStyle w:val="ThirdBullet"/>
              <w:rPr>
                <w:iCs/>
              </w:rPr>
            </w:pPr>
            <w:r w:rsidRPr="002B7644">
              <w:rPr>
                <w:iCs/>
              </w:rPr>
              <w:t>qualité de l’air</w:t>
            </w:r>
          </w:p>
          <w:p w14:paraId="4C948E40" w14:textId="2E3FBA71" w:rsidR="000A311F" w:rsidRPr="002B7644" w:rsidRDefault="002B7644" w:rsidP="002B7644">
            <w:pPr>
              <w:pStyle w:val="ThirdBullet"/>
              <w:spacing w:after="120"/>
              <w:rPr>
                <w:iCs/>
              </w:rPr>
            </w:pPr>
            <w:r w:rsidRPr="002B7644">
              <w:rPr>
                <w:iCs/>
              </w:rPr>
              <w:t>qualité de l’eau et de la terre</w:t>
            </w:r>
          </w:p>
        </w:tc>
      </w:tr>
    </w:tbl>
    <w:p w14:paraId="6C97D3F9" w14:textId="7F586F34" w:rsidR="00861BC6" w:rsidRPr="006206CC" w:rsidRDefault="00861BC6" w:rsidP="00BE3582">
      <w:pPr>
        <w:spacing w:line="40" w:lineRule="exact"/>
        <w:rPr>
          <w:sz w:val="4"/>
          <w:szCs w:val="4"/>
        </w:rPr>
      </w:pPr>
    </w:p>
    <w:sectPr w:rsidR="00861BC6" w:rsidRPr="006206CC" w:rsidSect="002D377C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5726C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C05104"/>
    <w:multiLevelType w:val="hybridMultilevel"/>
    <w:tmpl w:val="9CC83B0C"/>
    <w:lvl w:ilvl="0" w:tplc="FFFFFFFF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43E8"/>
    <w:multiLevelType w:val="hybridMultilevel"/>
    <w:tmpl w:val="CA743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8FC22F2"/>
    <w:multiLevelType w:val="hybridMultilevel"/>
    <w:tmpl w:val="4A3C69E0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5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B4C45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120B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B7644"/>
    <w:rsid w:val="002C42CD"/>
    <w:rsid w:val="002D1B3A"/>
    <w:rsid w:val="002D20E8"/>
    <w:rsid w:val="002D3076"/>
    <w:rsid w:val="002D377C"/>
    <w:rsid w:val="002E3C1B"/>
    <w:rsid w:val="002E545E"/>
    <w:rsid w:val="002E55AA"/>
    <w:rsid w:val="002F3A0E"/>
    <w:rsid w:val="002F5482"/>
    <w:rsid w:val="002F7D11"/>
    <w:rsid w:val="00307F73"/>
    <w:rsid w:val="00310E09"/>
    <w:rsid w:val="0031207E"/>
    <w:rsid w:val="00314026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79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2AAB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D"/>
    <w:rsid w:val="00C166C7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061E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5726C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C0E1-C6ED-384A-B830-28555EDC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1104</Words>
  <Characters>6432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7521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346</cp:revision>
  <cp:lastPrinted>2018-08-07T17:24:00Z</cp:lastPrinted>
  <dcterms:created xsi:type="dcterms:W3CDTF">2018-06-07T23:51:00Z</dcterms:created>
  <dcterms:modified xsi:type="dcterms:W3CDTF">2018-08-07T20:26:00Z</dcterms:modified>
</cp:coreProperties>
</file>