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289661C6" w:rsidR="00023C18" w:rsidRPr="006206CC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6206C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6CC">
        <w:rPr>
          <w:b/>
          <w:sz w:val="28"/>
        </w:rPr>
        <w:t xml:space="preserve">Domaine d’apprentissage : </w:t>
      </w:r>
      <w:r w:rsidR="00680D0C" w:rsidRPr="006206CC">
        <w:rPr>
          <w:b/>
          <w:sz w:val="28"/>
        </w:rPr>
        <w:t>SCIENCES HUMAINES ET SOCIALES</w:t>
      </w:r>
      <w:r w:rsidR="00CF31E0" w:rsidRPr="006206CC">
        <w:rPr>
          <w:b/>
          <w:sz w:val="28"/>
        </w:rPr>
        <w:t xml:space="preserve"> —</w:t>
      </w:r>
      <w:r w:rsidR="00AD6323" w:rsidRPr="006206CC">
        <w:rPr>
          <w:b/>
          <w:sz w:val="28"/>
        </w:rPr>
        <w:t xml:space="preserve"> </w:t>
      </w:r>
      <w:r w:rsidR="00680D0C" w:rsidRPr="006206CC">
        <w:rPr>
          <w:b/>
          <w:sz w:val="28"/>
        </w:rPr>
        <w:br/>
      </w:r>
      <w:r w:rsidR="00680D0C" w:rsidRPr="006206CC">
        <w:rPr>
          <w:b/>
          <w:sz w:val="28"/>
        </w:rPr>
        <w:tab/>
      </w:r>
      <w:r w:rsidR="00EF0B86" w:rsidRPr="00EF0B86">
        <w:rPr>
          <w:b/>
          <w:bCs/>
          <w:sz w:val="28"/>
        </w:rPr>
        <w:t>Études du droit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</w:t>
      </w:r>
      <w:r w:rsidR="00FC278A" w:rsidRPr="006206CC">
        <w:rPr>
          <w:b/>
          <w:bCs/>
          <w:sz w:val="28"/>
        </w:rPr>
        <w:t>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2E070600" w14:textId="77777777" w:rsidR="0014420D" w:rsidRPr="006206C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206CC">
        <w:rPr>
          <w:b/>
          <w:sz w:val="28"/>
        </w:rPr>
        <w:tab/>
      </w:r>
    </w:p>
    <w:p w14:paraId="1F219315" w14:textId="51662234" w:rsidR="00670E49" w:rsidRPr="006206CC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6206CC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500"/>
        <w:gridCol w:w="240"/>
        <w:gridCol w:w="2200"/>
        <w:gridCol w:w="240"/>
        <w:gridCol w:w="2800"/>
        <w:gridCol w:w="240"/>
        <w:gridCol w:w="4200"/>
      </w:tblGrid>
      <w:tr w:rsidR="006E14A9" w:rsidRPr="006206CC" w14:paraId="66D17AC1" w14:textId="77777777" w:rsidTr="008E34CF">
        <w:trPr>
          <w:jc w:val="center"/>
        </w:trPr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5AEB99" w14:textId="4D22B386" w:rsidR="006E14A9" w:rsidRPr="006206CC" w:rsidRDefault="008E34CF" w:rsidP="000B3F20">
            <w:pPr>
              <w:pStyle w:val="Tablestyle1"/>
              <w:rPr>
                <w:rFonts w:cs="Arial"/>
              </w:rPr>
            </w:pPr>
            <w:r w:rsidRPr="009A3DCF">
              <w:rPr>
                <w:szCs w:val="20"/>
              </w:rPr>
              <w:t>La compréhension des responsabilités et des droits légaux permet aux citoyens de participer plus pleinement à la société.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0D1005" w14:textId="77777777" w:rsidR="006E14A9" w:rsidRPr="006206CC" w:rsidRDefault="006E14A9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2C5593" w14:textId="07B2361E" w:rsidR="006E14A9" w:rsidRPr="00DB69B3" w:rsidRDefault="008E34CF" w:rsidP="000B3F20">
            <w:pPr>
              <w:pStyle w:val="Tablestyle1"/>
              <w:rPr>
                <w:rFonts w:cs="Arial"/>
                <w:spacing w:val="-2"/>
              </w:rPr>
            </w:pPr>
            <w:r w:rsidRPr="009A3DCF">
              <w:rPr>
                <w:szCs w:val="20"/>
              </w:rPr>
              <w:t xml:space="preserve">Les lois peuvent préserver le statu </w:t>
            </w:r>
            <w:r>
              <w:rPr>
                <w:szCs w:val="20"/>
              </w:rPr>
              <w:br/>
            </w:r>
            <w:r w:rsidRPr="009A3DCF">
              <w:rPr>
                <w:szCs w:val="20"/>
              </w:rPr>
              <w:t xml:space="preserve">quo ou imposer </w:t>
            </w:r>
            <w:r>
              <w:rPr>
                <w:szCs w:val="20"/>
              </w:rPr>
              <w:br/>
            </w:r>
            <w:r w:rsidRPr="009A3DCF">
              <w:rPr>
                <w:szCs w:val="20"/>
              </w:rPr>
              <w:t>des changements.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DBC65D" w14:textId="77777777" w:rsidR="006E14A9" w:rsidRPr="006206CC" w:rsidRDefault="006E14A9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055AF3B" w14:textId="66A1ACC0" w:rsidR="006E14A9" w:rsidRPr="006206CC" w:rsidRDefault="008E34CF" w:rsidP="00AC6B60">
            <w:pPr>
              <w:pStyle w:val="Tablestyle1"/>
              <w:rPr>
                <w:szCs w:val="20"/>
              </w:rPr>
            </w:pPr>
            <w:r w:rsidRPr="009A3DCF">
              <w:rPr>
                <w:szCs w:val="20"/>
              </w:rPr>
              <w:t xml:space="preserve">Les lois et le cadre juridique d’une société influencent </w:t>
            </w:r>
            <w:r>
              <w:rPr>
                <w:szCs w:val="20"/>
              </w:rPr>
              <w:br/>
            </w:r>
            <w:r w:rsidRPr="009A3DCF">
              <w:rPr>
                <w:szCs w:val="20"/>
              </w:rPr>
              <w:t xml:space="preserve">de nombreux aspects </w:t>
            </w:r>
            <w:r>
              <w:rPr>
                <w:szCs w:val="20"/>
              </w:rPr>
              <w:br/>
            </w:r>
            <w:r w:rsidRPr="009A3DCF">
              <w:rPr>
                <w:szCs w:val="20"/>
              </w:rPr>
              <w:t xml:space="preserve">de la vie quotidienne.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305549" w14:textId="77777777" w:rsidR="006E14A9" w:rsidRPr="006206CC" w:rsidRDefault="006E14A9" w:rsidP="000B3F20">
            <w:pPr>
              <w:pStyle w:val="Tablestyle1"/>
              <w:rPr>
                <w:szCs w:val="2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4485E5" w14:textId="2008727B" w:rsidR="006E14A9" w:rsidRPr="006206CC" w:rsidRDefault="008E34CF" w:rsidP="000B3F20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9A3DCF">
              <w:rPr>
                <w:szCs w:val="20"/>
              </w:rPr>
              <w:t>Les lois sont interprétées, et ces interprétations peuvent évoluer dans le temps à mesure que les valeurs et les visions du monde changent dans la société.</w:t>
            </w:r>
          </w:p>
        </w:tc>
      </w:tr>
    </w:tbl>
    <w:p w14:paraId="0D5F32C8" w14:textId="77777777" w:rsidR="006E14A9" w:rsidRPr="006206CC" w:rsidRDefault="006E14A9" w:rsidP="006E14A9">
      <w:pPr>
        <w:rPr>
          <w:sz w:val="16"/>
          <w:szCs w:val="16"/>
        </w:rPr>
      </w:pPr>
    </w:p>
    <w:p w14:paraId="2F2BAA8A" w14:textId="1FC33B70" w:rsidR="00E11BAF" w:rsidRPr="006206C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206C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  <w:gridCol w:w="5434"/>
      </w:tblGrid>
      <w:tr w:rsidR="00A142B5" w:rsidRPr="006206CC" w14:paraId="7C49560F" w14:textId="77777777" w:rsidTr="00A142B5">
        <w:tc>
          <w:tcPr>
            <w:tcW w:w="3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206CC" w:rsidRDefault="00E11BA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szCs w:val="22"/>
              </w:rPr>
              <w:t>Compétences disciplinaires</w:t>
            </w:r>
          </w:p>
        </w:tc>
        <w:tc>
          <w:tcPr>
            <w:tcW w:w="19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206CC" w:rsidRDefault="0059376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color w:val="FFFFFF" w:themeColor="background1"/>
                <w:szCs w:val="22"/>
              </w:rPr>
              <w:t>Conten</w:t>
            </w:r>
            <w:r w:rsidR="00E11BAF" w:rsidRPr="006206C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A142B5" w:rsidRPr="006206CC" w14:paraId="5149B766" w14:textId="77777777" w:rsidTr="00A142B5">
        <w:tc>
          <w:tcPr>
            <w:tcW w:w="3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22FD5FC1" w14:textId="1049A9FB" w:rsidR="00A142B5" w:rsidRPr="009A3DCF" w:rsidRDefault="00A142B5" w:rsidP="00A142B5">
            <w:pPr>
              <w:pStyle w:val="ListParagraph"/>
              <w:rPr>
                <w:rFonts w:cs="Calibri"/>
                <w:b/>
                <w:i/>
              </w:rPr>
            </w:pPr>
            <w:r w:rsidRPr="009A3DCF">
              <w:rPr>
                <w:rFonts w:cstheme="majorHAnsi"/>
                <w:b/>
              </w:rPr>
              <w:t xml:space="preserve">Utiliser les compétences et les démarches d’investigation liées à l’étude des sciences humaines et sociales pour poser des questions, recueillir, interpréter </w:t>
            </w:r>
            <w:r>
              <w:rPr>
                <w:rFonts w:cstheme="majorHAnsi"/>
                <w:b/>
              </w:rPr>
              <w:br/>
            </w:r>
            <w:r w:rsidRPr="009A3DCF">
              <w:rPr>
                <w:rFonts w:cstheme="majorHAnsi"/>
                <w:b/>
              </w:rPr>
              <w:t>et analyser des idées; et communiquer ses résultats et ses conclusions</w:t>
            </w:r>
          </w:p>
          <w:p w14:paraId="38F1B78A" w14:textId="2C1B00E0" w:rsidR="00A142B5" w:rsidRPr="009A3DCF" w:rsidRDefault="00A142B5" w:rsidP="00A142B5">
            <w:pPr>
              <w:pStyle w:val="ListParagraph"/>
              <w:rPr>
                <w:rFonts w:cs="Calibri"/>
                <w:b/>
                <w:i/>
              </w:rPr>
            </w:pPr>
            <w:r w:rsidRPr="009A3DCF">
              <w:rPr>
                <w:b/>
              </w:rPr>
              <w:t xml:space="preserve">Déterminer et comparer l’importance et l’impact de systèmes et de codes juridiques (portée) </w:t>
            </w:r>
          </w:p>
          <w:p w14:paraId="7C2A9054" w14:textId="6CB00D0E" w:rsidR="00A142B5" w:rsidRPr="009A3DCF" w:rsidRDefault="00A142B5" w:rsidP="00A142B5">
            <w:pPr>
              <w:pStyle w:val="ListParagraph"/>
              <w:rPr>
                <w:rFonts w:cs="Calibri"/>
                <w:b/>
                <w:i/>
              </w:rPr>
            </w:pPr>
            <w:r w:rsidRPr="009A3DCF">
              <w:t>Déterminer ce qui sous-tend les divers points de vue juridiques après avoir étudié les points de divergence, la fiabilité des sources et le bien-fondé des preuves (</w:t>
            </w:r>
            <w:proofErr w:type="spellStart"/>
            <w:r w:rsidRPr="009A3DCF">
              <w:t>preuves</w:t>
            </w:r>
            <w:proofErr w:type="spellEnd"/>
            <w:r w:rsidRPr="009A3DCF">
              <w:t>)</w:t>
            </w:r>
          </w:p>
          <w:p w14:paraId="07EFEB84" w14:textId="750AC58B" w:rsidR="00A142B5" w:rsidRPr="009A3DCF" w:rsidRDefault="00A142B5" w:rsidP="00A142B5">
            <w:pPr>
              <w:pStyle w:val="ListParagraph"/>
              <w:rPr>
                <w:rFonts w:cs="Calibri"/>
                <w:b/>
              </w:rPr>
            </w:pPr>
            <w:r w:rsidRPr="009A3DCF">
              <w:rPr>
                <w:b/>
              </w:rPr>
              <w:t xml:space="preserve">Analyser les éléments de continuité et de changement dans les systèmes </w:t>
            </w:r>
            <w:r>
              <w:rPr>
                <w:b/>
              </w:rPr>
              <w:br/>
            </w:r>
            <w:r w:rsidRPr="009A3DCF">
              <w:rPr>
                <w:b/>
              </w:rPr>
              <w:t>et les codes juridiques là où diverses juridictions s’appliquent (continuité et changement)</w:t>
            </w:r>
          </w:p>
          <w:p w14:paraId="1A2AEA51" w14:textId="39494AA6" w:rsidR="00A142B5" w:rsidRPr="009A3DCF" w:rsidRDefault="00A142B5" w:rsidP="00A142B5">
            <w:pPr>
              <w:pStyle w:val="ListParagraph"/>
              <w:rPr>
                <w:rFonts w:cs="Calibri"/>
                <w:b/>
                <w:i/>
              </w:rPr>
            </w:pPr>
            <w:r w:rsidRPr="009A3DCF">
              <w:t xml:space="preserve">Évaluer le développement et l’impact de systèmes ou de codes juridiques </w:t>
            </w:r>
            <w:r>
              <w:br/>
            </w:r>
            <w:r w:rsidRPr="009A3DCF">
              <w:t>(cause et conséquence)</w:t>
            </w:r>
          </w:p>
          <w:p w14:paraId="7B6BE436" w14:textId="77777777" w:rsidR="00A142B5" w:rsidRPr="009A3DCF" w:rsidRDefault="00A142B5" w:rsidP="00A142B5">
            <w:pPr>
              <w:pStyle w:val="ListParagraph"/>
              <w:rPr>
                <w:rFonts w:cs="Calibri"/>
                <w:b/>
                <w:i/>
              </w:rPr>
            </w:pPr>
            <w:r w:rsidRPr="009A3DCF">
              <w:rPr>
                <w:b/>
              </w:rPr>
              <w:t>Expliquer différents points de vue au sujet des systèmes ou des codes juridiques et en tirer des conclusions (perspective)</w:t>
            </w:r>
          </w:p>
          <w:p w14:paraId="751EF40F" w14:textId="77777777" w:rsidR="00A142B5" w:rsidRPr="009A3DCF" w:rsidRDefault="00A142B5" w:rsidP="00A142B5">
            <w:pPr>
              <w:pStyle w:val="ListParagraph"/>
            </w:pPr>
            <w:r w:rsidRPr="009A3DCF">
              <w:rPr>
                <w:b/>
              </w:rPr>
              <w:t>Porter des jugements éthiques raisonnés sur les systèmes ou les codes juridiques (jugement éthique)</w:t>
            </w:r>
          </w:p>
          <w:p w14:paraId="61D86295" w14:textId="3F85DACF" w:rsidR="00137394" w:rsidRPr="006206CC" w:rsidRDefault="00A142B5" w:rsidP="00A142B5">
            <w:pPr>
              <w:pStyle w:val="ListParagraph"/>
              <w:spacing w:after="120"/>
            </w:pPr>
            <w:r w:rsidRPr="009A3DCF">
              <w:rPr>
                <w:b/>
              </w:rPr>
              <w:t>Porter des jugements éthiques raisonnés sur des décisions, des dispositions législatives ou des politiques controversées (jugement éthique)</w:t>
            </w:r>
          </w:p>
        </w:tc>
        <w:tc>
          <w:tcPr>
            <w:tcW w:w="19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7C5B0E69" w14:textId="77777777" w:rsidR="00A142B5" w:rsidRPr="009A3DCF" w:rsidRDefault="00A142B5" w:rsidP="00A142B5">
            <w:pPr>
              <w:pStyle w:val="ListParagraph"/>
            </w:pPr>
            <w:r w:rsidRPr="009A3DCF">
              <w:t xml:space="preserve">La Constitution du Canada et la Charte canadienne des droits et libertés </w:t>
            </w:r>
          </w:p>
          <w:p w14:paraId="4C44CE4D" w14:textId="77777777" w:rsidR="00A142B5" w:rsidRPr="009A3DCF" w:rsidRDefault="00A142B5" w:rsidP="00A142B5">
            <w:pPr>
              <w:pStyle w:val="ListParagraph"/>
              <w:rPr>
                <w:b/>
              </w:rPr>
            </w:pPr>
            <w:r w:rsidRPr="009A3DCF">
              <w:rPr>
                <w:b/>
              </w:rPr>
              <w:t>Structures et pouvoirs des tribunaux fédéraux et provinciaux, ainsi que des tribunaux administratifs</w:t>
            </w:r>
          </w:p>
          <w:p w14:paraId="06AB3911" w14:textId="6127F4DA" w:rsidR="00A142B5" w:rsidRPr="009A3DCF" w:rsidRDefault="00A142B5" w:rsidP="00A142B5">
            <w:pPr>
              <w:pStyle w:val="ListParagraph"/>
              <w:rPr>
                <w:b/>
              </w:rPr>
            </w:pPr>
            <w:r w:rsidRPr="009A3DCF">
              <w:rPr>
                <w:b/>
              </w:rPr>
              <w:t xml:space="preserve">Principaux domaines du droit, comme le droit criminel, le droit civil, le droit de la famille et </w:t>
            </w:r>
            <w:r>
              <w:rPr>
                <w:b/>
              </w:rPr>
              <w:br/>
            </w:r>
            <w:r w:rsidRPr="009A3DCF">
              <w:rPr>
                <w:b/>
              </w:rPr>
              <w:t>le droit de la jeunesse</w:t>
            </w:r>
          </w:p>
          <w:p w14:paraId="71B8F386" w14:textId="77777777" w:rsidR="00A142B5" w:rsidRPr="009A3DCF" w:rsidRDefault="00A142B5" w:rsidP="00A142B5">
            <w:pPr>
              <w:pStyle w:val="ListParagraph"/>
              <w:rPr>
                <w:b/>
              </w:rPr>
            </w:pPr>
            <w:r w:rsidRPr="009A3DCF">
              <w:rPr>
                <w:b/>
              </w:rPr>
              <w:t>Législation canadienne concernant les peuples autochtones</w:t>
            </w:r>
          </w:p>
          <w:p w14:paraId="5F635E47" w14:textId="77777777" w:rsidR="00A142B5" w:rsidRPr="009A3DCF" w:rsidRDefault="00A142B5" w:rsidP="00A142B5">
            <w:pPr>
              <w:pStyle w:val="ListParagraph"/>
              <w:rPr>
                <w:b/>
              </w:rPr>
            </w:pPr>
            <w:r w:rsidRPr="009A3DCF">
              <w:rPr>
                <w:b/>
              </w:rPr>
              <w:t xml:space="preserve">Ordres juridiques et lois traditionnelles autochtones au Canada et dans d’autres juridictions du monde </w:t>
            </w:r>
          </w:p>
          <w:p w14:paraId="0224BAB7" w14:textId="77777777" w:rsidR="00A142B5" w:rsidRPr="009A3DCF" w:rsidRDefault="00A142B5" w:rsidP="00A142B5">
            <w:pPr>
              <w:pStyle w:val="ListParagraph"/>
              <w:rPr>
                <w:b/>
              </w:rPr>
            </w:pPr>
            <w:r w:rsidRPr="009A3DCF">
              <w:rPr>
                <w:b/>
              </w:rPr>
              <w:t>Système correctionnel du Canada et principes de réhabilitation, de sanction et de réintégration</w:t>
            </w:r>
          </w:p>
          <w:p w14:paraId="03C90176" w14:textId="54E94907" w:rsidR="0024696F" w:rsidRPr="006206CC" w:rsidRDefault="00A142B5" w:rsidP="00A142B5">
            <w:pPr>
              <w:pStyle w:val="ListParagraph"/>
            </w:pPr>
            <w:r w:rsidRPr="009A3DCF">
              <w:rPr>
                <w:b/>
              </w:rPr>
              <w:t xml:space="preserve">Structures et rôles des agences et des tribunaux internationaux de résolution </w:t>
            </w:r>
            <w:r>
              <w:rPr>
                <w:b/>
              </w:rPr>
              <w:br/>
            </w:r>
            <w:r w:rsidRPr="009A3DCF">
              <w:rPr>
                <w:b/>
              </w:rPr>
              <w:t>de conflits</w:t>
            </w:r>
          </w:p>
        </w:tc>
      </w:tr>
    </w:tbl>
    <w:p w14:paraId="1524A218" w14:textId="36DA5DA2" w:rsidR="00E14107" w:rsidRPr="00BE3012" w:rsidRDefault="0018557D" w:rsidP="00E14107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sz w:val="16"/>
          <w:szCs w:val="16"/>
        </w:rPr>
      </w:pPr>
      <w:r w:rsidRPr="00BE3012">
        <w:rPr>
          <w:sz w:val="16"/>
          <w:szCs w:val="16"/>
        </w:rPr>
        <w:br w:type="page"/>
      </w:r>
      <w:r w:rsidR="00023C18" w:rsidRPr="00BE3012">
        <w:rPr>
          <w:noProof/>
          <w:sz w:val="16"/>
          <w:szCs w:val="16"/>
          <w:lang w:val="en-US"/>
        </w:rPr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6206CC" w14:paraId="554B45C5" w14:textId="77777777" w:rsidTr="00B47E69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33693ACC" w:rsidR="00ED1AB0" w:rsidRPr="006206CC" w:rsidRDefault="00ED1AB0" w:rsidP="00FC278A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6206CC">
              <w:rPr>
                <w:b/>
              </w:rPr>
              <w:lastRenderedPageBreak/>
              <w:tab/>
            </w:r>
            <w:r w:rsidR="00680D0C" w:rsidRPr="006206CC">
              <w:rPr>
                <w:b/>
                <w:szCs w:val="22"/>
              </w:rPr>
              <w:t xml:space="preserve">SCIENCES HUMAINES ET SOCIALES — </w:t>
            </w:r>
            <w:r w:rsidR="00EF0B86" w:rsidRPr="00EF0B86">
              <w:rPr>
                <w:b/>
                <w:bCs/>
                <w:szCs w:val="22"/>
              </w:rPr>
              <w:t>Études du droit</w:t>
            </w:r>
            <w:r w:rsidRPr="006206CC">
              <w:rPr>
                <w:b/>
              </w:rPr>
              <w:br/>
              <w:t>Compétences disciplinaires – Approfondissements</w:t>
            </w:r>
            <w:r w:rsidRPr="006206CC">
              <w:rPr>
                <w:b/>
              </w:rPr>
              <w:tab/>
            </w:r>
            <w:r w:rsidR="005B1748" w:rsidRPr="006206CC">
              <w:rPr>
                <w:b/>
              </w:rPr>
              <w:t>1</w:t>
            </w:r>
            <w:r w:rsidR="00FC278A" w:rsidRPr="006206CC">
              <w:rPr>
                <w:b/>
              </w:rPr>
              <w:t>2</w:t>
            </w:r>
            <w:r w:rsidR="00C97E8E" w:rsidRPr="006206CC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6206CC">
              <w:rPr>
                <w:b/>
              </w:rPr>
              <w:t xml:space="preserve"> année</w:t>
            </w:r>
          </w:p>
        </w:tc>
      </w:tr>
      <w:tr w:rsidR="00ED1AB0" w:rsidRPr="006206CC" w14:paraId="01795492" w14:textId="77777777" w:rsidTr="00B47E69">
        <w:tc>
          <w:tcPr>
            <w:tcW w:w="5000" w:type="pct"/>
            <w:shd w:val="clear" w:color="auto" w:fill="F3F3F3"/>
          </w:tcPr>
          <w:p w14:paraId="186969E0" w14:textId="77777777" w:rsidR="00F81498" w:rsidRPr="00E43EEA" w:rsidRDefault="00F81498" w:rsidP="00E43EEA">
            <w:pPr>
              <w:pStyle w:val="ListParagraph"/>
              <w:spacing w:before="120"/>
              <w:rPr>
                <w:rFonts w:cs="Calibri"/>
                <w:b/>
                <w:i/>
              </w:rPr>
            </w:pPr>
            <w:r w:rsidRPr="00E43EEA">
              <w:rPr>
                <w:b/>
              </w:rPr>
              <w:t>Utiliser les compétences et les démarches d’investigation liées à l’étude des sciences humaines et sociales pour poser des questions, recueillir, interpréter et analyser des idées; et communiquer ses résultats et ses conclusions :</w:t>
            </w:r>
          </w:p>
          <w:p w14:paraId="1F0F7A6A" w14:textId="77777777" w:rsidR="00F81498" w:rsidRPr="009A3DCF" w:rsidRDefault="00F81498" w:rsidP="00E43EEA">
            <w:pPr>
              <w:pStyle w:val="Elaborationquestions"/>
            </w:pPr>
            <w:r w:rsidRPr="009A3DCF">
              <w:t>Exemples d’activités :</w:t>
            </w:r>
          </w:p>
          <w:p w14:paraId="2FD7E54A" w14:textId="7C734B5E" w:rsidR="00F81498" w:rsidRPr="009A3DCF" w:rsidRDefault="00F81498" w:rsidP="00E43EEA">
            <w:pPr>
              <w:pStyle w:val="ListParagraphindent"/>
            </w:pPr>
            <w:r w:rsidRPr="009A3DCF">
              <w:t xml:space="preserve">Étudier et expliquer comment résoudre des questions juridiques en droit civil, telles que celles qui se rapportent à des contrats de location, </w:t>
            </w:r>
            <w:r w:rsidR="00E43EEA">
              <w:br/>
            </w:r>
            <w:r w:rsidRPr="009A3DCF">
              <w:t>à l’emploi ou à la séparation</w:t>
            </w:r>
          </w:p>
          <w:p w14:paraId="088404E1" w14:textId="6E1F4C35" w:rsidR="00F81498" w:rsidRPr="009A3DCF" w:rsidRDefault="00F81498" w:rsidP="00E43EEA">
            <w:pPr>
              <w:pStyle w:val="ListParagraphindent"/>
            </w:pPr>
            <w:r w:rsidRPr="009A3DCF">
              <w:t xml:space="preserve">Explorer quelles ressources juridiques sont disponibles dans la collectivité pour aider à composer avec les problèmes juridiques, </w:t>
            </w:r>
            <w:r w:rsidR="00E43EEA">
              <w:br/>
            </w:r>
            <w:r w:rsidRPr="009A3DCF">
              <w:t>et notamment se défendre en cour ou devant un tribunal</w:t>
            </w:r>
          </w:p>
          <w:p w14:paraId="4BBBD9AB" w14:textId="77777777" w:rsidR="00F81498" w:rsidRPr="009A3DCF" w:rsidRDefault="00F81498" w:rsidP="00E43EEA">
            <w:pPr>
              <w:pStyle w:val="ListParagraphindent"/>
            </w:pPr>
            <w:r w:rsidRPr="009A3DCF">
              <w:t>Explorer les méthodes et les stratégies alternatives de résolution des conflits afin que ceux-ci ne se transforment en litiges</w:t>
            </w:r>
          </w:p>
          <w:p w14:paraId="009A5C3A" w14:textId="77777777" w:rsidR="00F81498" w:rsidRPr="009A3DCF" w:rsidRDefault="00F81498" w:rsidP="00E43EEA">
            <w:pPr>
              <w:pStyle w:val="ListParagraphindent"/>
            </w:pPr>
            <w:r w:rsidRPr="009A3DCF">
              <w:t>Évaluer divers types de preuves et la façon de déterminer s’il y a partialité, fiabilité et bien-fondé dans une source d’élément de preuve</w:t>
            </w:r>
          </w:p>
          <w:p w14:paraId="3CD0CE26" w14:textId="77777777" w:rsidR="00F81498" w:rsidRPr="009A3DCF" w:rsidRDefault="00F81498" w:rsidP="00E43EEA">
            <w:pPr>
              <w:pStyle w:val="ListparagraphidentLastsub-bullet"/>
            </w:pPr>
            <w:r w:rsidRPr="009A3DCF">
              <w:t>Tenir un procès ou un débat fictif pour juger une affaire ou une question d’ordre juridique</w:t>
            </w:r>
          </w:p>
          <w:p w14:paraId="318160AC" w14:textId="77777777" w:rsidR="00F81498" w:rsidRPr="00E43EEA" w:rsidRDefault="00F81498" w:rsidP="00E43EEA">
            <w:pPr>
              <w:pStyle w:val="ListParagraph"/>
              <w:rPr>
                <w:rFonts w:cs="Calibri"/>
                <w:b/>
                <w:i/>
              </w:rPr>
            </w:pPr>
            <w:r w:rsidRPr="00E43EEA">
              <w:rPr>
                <w:b/>
              </w:rPr>
              <w:t>Déterminer et comparer l’importance et l’impact de systèmes et de codes juridiques (portée) :</w:t>
            </w:r>
          </w:p>
          <w:p w14:paraId="4B6675C2" w14:textId="77777777" w:rsidR="00F81498" w:rsidRPr="009A3DCF" w:rsidRDefault="00F81498" w:rsidP="00E43EEA">
            <w:pPr>
              <w:pStyle w:val="Elaborationquestions"/>
            </w:pPr>
            <w:r w:rsidRPr="009A3DCF">
              <w:t>Exemples d’activités :</w:t>
            </w:r>
          </w:p>
          <w:p w14:paraId="34C0740F" w14:textId="77777777" w:rsidR="00F81498" w:rsidRPr="00E43EEA" w:rsidRDefault="00F81498" w:rsidP="00E43EEA">
            <w:pPr>
              <w:pStyle w:val="ListParagraphindent"/>
              <w:rPr>
                <w:spacing w:val="-2"/>
              </w:rPr>
            </w:pPr>
            <w:r w:rsidRPr="00E43EEA">
              <w:rPr>
                <w:spacing w:val="-2"/>
              </w:rPr>
              <w:t xml:space="preserve">Évaluer l’importance de la </w:t>
            </w:r>
            <w:r w:rsidRPr="00E43EEA">
              <w:rPr>
                <w:i/>
                <w:spacing w:val="-2"/>
              </w:rPr>
              <w:t>Loi constitutionnelle</w:t>
            </w:r>
            <w:r w:rsidRPr="00E43EEA">
              <w:rPr>
                <w:spacing w:val="-2"/>
              </w:rPr>
              <w:t xml:space="preserve"> </w:t>
            </w:r>
            <w:r w:rsidRPr="00E43EEA">
              <w:rPr>
                <w:i/>
                <w:spacing w:val="-2"/>
              </w:rPr>
              <w:t>de 1982</w:t>
            </w:r>
            <w:r w:rsidRPr="00E43EEA">
              <w:rPr>
                <w:spacing w:val="-2"/>
              </w:rPr>
              <w:t xml:space="preserve"> et de la Charte canadienne des droits et libertés pour les droits de la personne au Canada</w:t>
            </w:r>
          </w:p>
          <w:p w14:paraId="56314275" w14:textId="76A56E60" w:rsidR="00F81498" w:rsidRPr="009A3DCF" w:rsidRDefault="00F81498" w:rsidP="00E43EEA">
            <w:pPr>
              <w:pStyle w:val="ListParagraphindent"/>
            </w:pPr>
            <w:r w:rsidRPr="009A3DCF">
              <w:t xml:space="preserve">Analyser le rôle des institutions et des agences de résolution de conflits internationaux en matière de droits de la personne </w:t>
            </w:r>
            <w:r w:rsidR="00E43EEA">
              <w:br/>
            </w:r>
            <w:r w:rsidRPr="009A3DCF">
              <w:t>et de développement économique</w:t>
            </w:r>
          </w:p>
          <w:p w14:paraId="3ACF68A2" w14:textId="77777777" w:rsidR="00F81498" w:rsidRPr="009A3DCF" w:rsidRDefault="00F81498" w:rsidP="00E43EEA">
            <w:pPr>
              <w:pStyle w:val="ListParagraphindent"/>
            </w:pPr>
            <w:r w:rsidRPr="009A3DCF">
              <w:t>Déterminer le rôle de l’organisation judiciaire comme contrepoids constitutionnel au pouvoir législatif</w:t>
            </w:r>
          </w:p>
          <w:p w14:paraId="41EDD86E" w14:textId="77777777" w:rsidR="00F81498" w:rsidRPr="009A3DCF" w:rsidRDefault="00F81498" w:rsidP="00E43EEA">
            <w:pPr>
              <w:pStyle w:val="ListParagraphindent"/>
              <w:rPr>
                <w:color w:val="000000" w:themeColor="text1"/>
              </w:rPr>
            </w:pPr>
            <w:r w:rsidRPr="009A3DCF">
              <w:t>Analyser le rôle de la Cour internationale de Justice à La Haye dans les instances liées à la violation des droits de la personne</w:t>
            </w:r>
          </w:p>
          <w:p w14:paraId="5C94DC09" w14:textId="77777777" w:rsidR="00F81498" w:rsidRPr="009A3DCF" w:rsidRDefault="00F81498" w:rsidP="00E43EEA">
            <w:pPr>
              <w:pStyle w:val="ListParagraphindent"/>
              <w:rPr>
                <w:b/>
                <w:color w:val="000000" w:themeColor="text1"/>
                <w:lang w:bidi="en-US"/>
              </w:rPr>
            </w:pPr>
            <w:r w:rsidRPr="009A3DCF">
              <w:rPr>
                <w:color w:val="000000" w:themeColor="text1"/>
              </w:rPr>
              <w:t>Déterminer l’importance des principes juridiques, des instances, des forces sociales et des événements essentiels à l’évolution du droit</w:t>
            </w:r>
          </w:p>
          <w:p w14:paraId="55CA2A92" w14:textId="77777777" w:rsidR="00F81498" w:rsidRPr="009A3DCF" w:rsidRDefault="00F81498" w:rsidP="00E43EEA">
            <w:pPr>
              <w:pStyle w:val="ListParagraphindent"/>
            </w:pPr>
            <w:r w:rsidRPr="009A3DCF">
              <w:rPr>
                <w:rFonts w:cs="Arial"/>
              </w:rPr>
              <w:t>Évaluer l’impact d’une loi, d’une décision judiciaire ou d’un principe juridique sur les structures juridiques ou la vie des citoyens</w:t>
            </w:r>
          </w:p>
          <w:p w14:paraId="47D0130F" w14:textId="77777777" w:rsidR="00F81498" w:rsidRPr="009A3DCF" w:rsidRDefault="00F81498" w:rsidP="00E43EEA">
            <w:pPr>
              <w:pStyle w:val="ListparagraphidentLastsub-bullet"/>
              <w:rPr>
                <w:b/>
                <w:lang w:bidi="en-US"/>
              </w:rPr>
            </w:pPr>
            <w:r w:rsidRPr="009A3DCF">
              <w:t>Évaluer l’impact des forces sociales ou politiques sur le développement du droit</w:t>
            </w:r>
          </w:p>
          <w:p w14:paraId="32B56A5C" w14:textId="77777777" w:rsidR="00E43EEA" w:rsidRPr="00E43EEA" w:rsidRDefault="00F81498" w:rsidP="00E43EEA">
            <w:pPr>
              <w:pStyle w:val="ListParagraph"/>
              <w:rPr>
                <w:rFonts w:cs="Calibri"/>
                <w:b/>
                <w:i/>
              </w:rPr>
            </w:pPr>
            <w:r w:rsidRPr="00E43EEA">
              <w:rPr>
                <w:b/>
              </w:rPr>
              <w:t>Analyser les éléments de continuité et de changement dans les systèmes et les codes juridiques là où diverses juridictions s’appliquent (continuité et changement) :</w:t>
            </w:r>
          </w:p>
          <w:p w14:paraId="581DA62B" w14:textId="63AB0396" w:rsidR="00F81498" w:rsidRPr="009A3DCF" w:rsidRDefault="00F81498" w:rsidP="00E43EEA">
            <w:pPr>
              <w:pStyle w:val="Elaborationquestions"/>
            </w:pPr>
            <w:r w:rsidRPr="009A3DCF">
              <w:t>Exemples d’activités :</w:t>
            </w:r>
          </w:p>
          <w:p w14:paraId="047CB004" w14:textId="77777777" w:rsidR="00F81498" w:rsidRPr="009A3DCF" w:rsidRDefault="00F81498" w:rsidP="00E43EEA">
            <w:pPr>
              <w:pStyle w:val="ListParagraphindent"/>
            </w:pPr>
            <w:r w:rsidRPr="009A3DCF">
              <w:t>Comparer et opposer différents points de vue sur le rôle du système correctionnel au Canada</w:t>
            </w:r>
          </w:p>
          <w:p w14:paraId="3E794E9D" w14:textId="43885182" w:rsidR="00F81498" w:rsidRPr="009A3DCF" w:rsidRDefault="00F81498" w:rsidP="00E43EEA">
            <w:pPr>
              <w:pStyle w:val="ListParagraphindent"/>
            </w:pPr>
            <w:r w:rsidRPr="009A3DCF">
              <w:t xml:space="preserve">Analyser le comment et le pourquoi du changement au fil du temps des lois, des structures et des pratiques judiciaires, de la jurisprudence </w:t>
            </w:r>
            <w:r w:rsidR="00E43EEA">
              <w:br/>
            </w:r>
            <w:r w:rsidRPr="009A3DCF">
              <w:t>et des programmes législatifs</w:t>
            </w:r>
          </w:p>
          <w:p w14:paraId="4EC9A99C" w14:textId="5FABD326" w:rsidR="00F81498" w:rsidRPr="009A3DCF" w:rsidRDefault="00F81498" w:rsidP="00E43EEA">
            <w:pPr>
              <w:pStyle w:val="ListparagraphidentLastsub-bullet"/>
            </w:pPr>
            <w:r w:rsidRPr="009A3DCF">
              <w:t xml:space="preserve">Analyser les forces qui consolident la continuité et les facteurs ayant des effets tant à court terme qu’à long terme sur les systèmes juridiques </w:t>
            </w:r>
            <w:r w:rsidR="00E43EEA">
              <w:br/>
            </w:r>
            <w:r w:rsidRPr="009A3DCF">
              <w:t>et l’administration de la justice</w:t>
            </w:r>
          </w:p>
          <w:p w14:paraId="3A5B3309" w14:textId="77777777" w:rsidR="00E43EEA" w:rsidRPr="00E43EEA" w:rsidRDefault="00F81498" w:rsidP="00E43EEA">
            <w:pPr>
              <w:pStyle w:val="ListParagraph"/>
              <w:rPr>
                <w:rFonts w:cs="Calibri"/>
                <w:b/>
                <w:i/>
              </w:rPr>
            </w:pPr>
            <w:r w:rsidRPr="00E43EEA">
              <w:rPr>
                <w:rFonts w:cstheme="majorHAnsi"/>
                <w:b/>
              </w:rPr>
              <w:t>Expliquer différents points de vue au sujet des systèmes ou des codes juridiques et en tirer des conclusions</w:t>
            </w:r>
            <w:r w:rsidRPr="00E43EEA">
              <w:rPr>
                <w:b/>
              </w:rPr>
              <w:t xml:space="preserve"> (perspective) :</w:t>
            </w:r>
          </w:p>
          <w:p w14:paraId="30A94C1A" w14:textId="74BE0F3B" w:rsidR="00F81498" w:rsidRPr="009A3DCF" w:rsidRDefault="00F81498" w:rsidP="00E43EEA">
            <w:pPr>
              <w:pStyle w:val="Elaborationquestions"/>
            </w:pPr>
            <w:r w:rsidRPr="009A3DCF">
              <w:t>Exemples d’activités :</w:t>
            </w:r>
          </w:p>
          <w:p w14:paraId="69D95A15" w14:textId="77777777" w:rsidR="00F81498" w:rsidRPr="00E43EEA" w:rsidRDefault="00F81498" w:rsidP="00E43EEA">
            <w:pPr>
              <w:pStyle w:val="ListParagraphindent"/>
              <w:rPr>
                <w:color w:val="000000" w:themeColor="text1"/>
                <w:spacing w:val="-3"/>
              </w:rPr>
            </w:pPr>
            <w:r w:rsidRPr="00E43EEA">
              <w:rPr>
                <w:spacing w:val="-3"/>
              </w:rPr>
              <w:t>Examiner si les lois canadiennes protégeant les droits des minorités ont évolué grâce à un appui populaire au changement ou en dépit d’un tel appui</w:t>
            </w:r>
          </w:p>
          <w:p w14:paraId="5261D343" w14:textId="3EFD2789" w:rsidR="00F81498" w:rsidRPr="009A3DCF" w:rsidRDefault="00F81498" w:rsidP="00E43EEA">
            <w:pPr>
              <w:pStyle w:val="ListparagraphidentLastsub-bullet"/>
              <w:spacing w:after="120"/>
            </w:pPr>
            <w:r w:rsidRPr="009A3DCF">
              <w:t xml:space="preserve">Analyser les principes juridiques d’équité, de justice, de présomption d’innocence et de règle de droit en se penchant sur diverses questions </w:t>
            </w:r>
            <w:r w:rsidR="00FC4809">
              <w:br/>
            </w:r>
            <w:r w:rsidRPr="009A3DCF">
              <w:t>de droit, controverses et instances</w:t>
            </w:r>
          </w:p>
          <w:p w14:paraId="3B95324C" w14:textId="77777777" w:rsidR="00E43EEA" w:rsidRPr="00E43EEA" w:rsidRDefault="00F81498" w:rsidP="00E43EEA">
            <w:pPr>
              <w:pStyle w:val="ListParagraph"/>
              <w:spacing w:before="200"/>
              <w:rPr>
                <w:rFonts w:cs="Calibri"/>
                <w:b/>
                <w:i/>
              </w:rPr>
            </w:pPr>
            <w:r w:rsidRPr="00E43EEA">
              <w:rPr>
                <w:rFonts w:cstheme="majorHAnsi"/>
                <w:b/>
              </w:rPr>
              <w:lastRenderedPageBreak/>
              <w:t>Porter des jugements éthiques raisonnés sur les systèmes ou les codes juridiques</w:t>
            </w:r>
            <w:r w:rsidRPr="00E43EEA">
              <w:rPr>
                <w:b/>
              </w:rPr>
              <w:t xml:space="preserve"> (jugement éthique) :</w:t>
            </w:r>
          </w:p>
          <w:p w14:paraId="2B2308C9" w14:textId="57C1A9A0" w:rsidR="00F81498" w:rsidRPr="009A3DCF" w:rsidRDefault="00F81498" w:rsidP="00CC7A5B">
            <w:pPr>
              <w:pStyle w:val="Elaborationquestions"/>
              <w:spacing w:before="20" w:after="20"/>
            </w:pPr>
            <w:r w:rsidRPr="009A3DCF">
              <w:t>Exemple d’activités :</w:t>
            </w:r>
          </w:p>
          <w:p w14:paraId="7A14BE63" w14:textId="77777777" w:rsidR="00F81498" w:rsidRPr="009A3DCF" w:rsidRDefault="00F81498" w:rsidP="00E43EEA">
            <w:pPr>
              <w:pStyle w:val="ListparagraphidentLastsub-bullet"/>
            </w:pPr>
            <w:r w:rsidRPr="009A3DCF">
              <w:t>Explorer comment le système juridique a été utilisé dans le passé de manière à perpétuer les inégalités</w:t>
            </w:r>
          </w:p>
          <w:p w14:paraId="45DAD18A" w14:textId="10E28352" w:rsidR="00E43EEA" w:rsidRPr="00E43EEA" w:rsidRDefault="00F81498" w:rsidP="00E43EEA">
            <w:pPr>
              <w:pStyle w:val="ListParagraph"/>
              <w:rPr>
                <w:rFonts w:cs="Calibri"/>
                <w:b/>
                <w:i/>
              </w:rPr>
            </w:pPr>
            <w:r w:rsidRPr="00E43EEA">
              <w:rPr>
                <w:rFonts w:cstheme="majorHAnsi"/>
                <w:b/>
              </w:rPr>
              <w:t>Porter des jugements éthiques raisonnés sur des décisions, des dispositions législatives ou des politiques controversées</w:t>
            </w:r>
            <w:r w:rsidRPr="00E43EEA">
              <w:rPr>
                <w:b/>
              </w:rPr>
              <w:t xml:space="preserve"> </w:t>
            </w:r>
            <w:r w:rsidR="00FC4809">
              <w:rPr>
                <w:b/>
              </w:rPr>
              <w:br/>
            </w:r>
            <w:r w:rsidRPr="00E43EEA">
              <w:rPr>
                <w:b/>
              </w:rPr>
              <w:t>(jugement éthique) :</w:t>
            </w:r>
          </w:p>
          <w:p w14:paraId="03D9400F" w14:textId="65B758E9" w:rsidR="00F81498" w:rsidRPr="009A3DCF" w:rsidRDefault="00F81498" w:rsidP="00CC7A5B">
            <w:pPr>
              <w:pStyle w:val="Elaborationquestions"/>
              <w:spacing w:before="20" w:after="20"/>
            </w:pPr>
            <w:r w:rsidRPr="009A3DCF">
              <w:t>Exemples d’activités :</w:t>
            </w:r>
          </w:p>
          <w:p w14:paraId="407B225E" w14:textId="5CD49E61" w:rsidR="00F81498" w:rsidRPr="009A3DCF" w:rsidRDefault="00F81498" w:rsidP="00E43EEA">
            <w:pPr>
              <w:pStyle w:val="ListParagraphindent"/>
              <w:rPr>
                <w:color w:val="000000" w:themeColor="text1"/>
              </w:rPr>
            </w:pPr>
            <w:r w:rsidRPr="009A3DCF">
              <w:t xml:space="preserve">Évaluer des instances dans lesquelles le système judiciaire a rendu des décisions en matière de droits de la personne, et déterminer dans </w:t>
            </w:r>
            <w:r w:rsidR="00FC4809">
              <w:br/>
            </w:r>
            <w:r w:rsidRPr="009A3DCF">
              <w:t>quelle mesure ces décisions ont fait progresser ou régresser les droits des personnes concernées</w:t>
            </w:r>
          </w:p>
          <w:p w14:paraId="4EE23C5A" w14:textId="77777777" w:rsidR="00F81498" w:rsidRPr="009A3DCF" w:rsidRDefault="00F81498" w:rsidP="00E43EEA">
            <w:pPr>
              <w:pStyle w:val="ListParagraphindent"/>
              <w:rPr>
                <w:color w:val="000000" w:themeColor="text1"/>
              </w:rPr>
            </w:pPr>
            <w:r w:rsidRPr="009A3DCF">
              <w:rPr>
                <w:color w:val="000000" w:themeColor="text1"/>
              </w:rPr>
              <w:t>Réfléchir aux répercussions qu’ont les lois sur la société et à celles qu’a la société sur les lois</w:t>
            </w:r>
          </w:p>
          <w:p w14:paraId="5832181E" w14:textId="63CCD4EA" w:rsidR="00F81498" w:rsidRPr="009A3DCF" w:rsidRDefault="00F81498" w:rsidP="00E43EEA">
            <w:pPr>
              <w:pStyle w:val="ListParagraphindent"/>
            </w:pPr>
            <w:r w:rsidRPr="009A3DCF">
              <w:t xml:space="preserve">Étudier le rôle des différents organes du gouvernement dans l’évolution du droit au Canada et la façon dont les lois affectent divers groupes </w:t>
            </w:r>
            <w:r w:rsidR="00FC4809">
              <w:br/>
            </w:r>
            <w:r w:rsidRPr="009A3DCF">
              <w:t>ou s’y adaptent</w:t>
            </w:r>
          </w:p>
          <w:p w14:paraId="5F8EB9C3" w14:textId="14D4256C" w:rsidR="00ED1AB0" w:rsidRPr="00A96AC1" w:rsidRDefault="00F81498" w:rsidP="00E43EEA">
            <w:pPr>
              <w:pStyle w:val="ListParagraphindent"/>
              <w:spacing w:after="120"/>
              <w:rPr>
                <w:spacing w:val="-2"/>
              </w:rPr>
            </w:pPr>
            <w:r w:rsidRPr="009A3DCF">
              <w:rPr>
                <w:color w:val="000000" w:themeColor="text1"/>
              </w:rPr>
              <w:t>Réfléchir aux interactions entre les diverses parties prenantes dans les procès et autres affaires litigieuses</w:t>
            </w:r>
            <w:r w:rsidRPr="009A3DCF">
              <w:t xml:space="preserve"> </w:t>
            </w:r>
          </w:p>
        </w:tc>
      </w:tr>
    </w:tbl>
    <w:p w14:paraId="73AB1BB8" w14:textId="3A5559DF" w:rsidR="00F01051" w:rsidRPr="00CC7A5B" w:rsidRDefault="00F01051" w:rsidP="00CC7A5B">
      <w:pPr>
        <w:spacing w:line="160" w:lineRule="exact"/>
        <w:rPr>
          <w:sz w:val="11"/>
          <w:szCs w:val="11"/>
        </w:rPr>
      </w:pPr>
    </w:p>
    <w:p w14:paraId="2C46E121" w14:textId="77777777" w:rsidR="00654624" w:rsidRPr="00CC7A5B" w:rsidRDefault="00654624" w:rsidP="00CC7A5B">
      <w:pPr>
        <w:spacing w:line="160" w:lineRule="exact"/>
        <w:rPr>
          <w:sz w:val="11"/>
          <w:szCs w:val="11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6206CC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7F447B5" w:rsidR="00F9586F" w:rsidRPr="006206CC" w:rsidRDefault="0059376F" w:rsidP="00FC278A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6206CC">
              <w:rPr>
                <w:b/>
                <w:color w:val="FFFFFF" w:themeColor="background1"/>
              </w:rPr>
              <w:tab/>
            </w:r>
            <w:r w:rsidR="00680D0C" w:rsidRPr="006206CC">
              <w:rPr>
                <w:b/>
                <w:color w:val="FFFFFF" w:themeColor="background1"/>
              </w:rPr>
              <w:t xml:space="preserve">SCIENCES HUMAINES ET SOCIALES — </w:t>
            </w:r>
            <w:r w:rsidR="00EF0B86" w:rsidRPr="00EF0B86">
              <w:rPr>
                <w:b/>
                <w:bCs/>
                <w:color w:val="FFFFFF" w:themeColor="background1"/>
              </w:rPr>
              <w:t>Études du droit</w:t>
            </w:r>
            <w:r w:rsidRPr="006206CC">
              <w:rPr>
                <w:b/>
                <w:color w:val="FFFFFF" w:themeColor="background1"/>
              </w:rPr>
              <w:br/>
              <w:t>Conten</w:t>
            </w:r>
            <w:r w:rsidR="00737D76" w:rsidRPr="006206CC">
              <w:rPr>
                <w:b/>
                <w:color w:val="FFFFFF" w:themeColor="background1"/>
              </w:rPr>
              <w:t>u</w:t>
            </w:r>
            <w:r w:rsidRPr="006206CC">
              <w:rPr>
                <w:b/>
                <w:color w:val="FFFFFF" w:themeColor="background1"/>
              </w:rPr>
              <w:t xml:space="preserve"> – </w:t>
            </w:r>
            <w:r w:rsidR="00737D76" w:rsidRPr="006206CC">
              <w:rPr>
                <w:b/>
                <w:color w:val="FFFFFF" w:themeColor="background1"/>
              </w:rPr>
              <w:t>Approfondissements</w:t>
            </w:r>
            <w:r w:rsidRPr="006206CC">
              <w:rPr>
                <w:b/>
                <w:color w:val="FFFFFF" w:themeColor="background1"/>
              </w:rPr>
              <w:tab/>
            </w:r>
            <w:r w:rsidR="005B1748" w:rsidRPr="006206CC">
              <w:rPr>
                <w:b/>
                <w:color w:val="FFFFFF" w:themeColor="background1"/>
              </w:rPr>
              <w:t>1</w:t>
            </w:r>
            <w:r w:rsidR="00FC278A" w:rsidRPr="006206CC">
              <w:rPr>
                <w:b/>
                <w:color w:val="FFFFFF" w:themeColor="background1"/>
              </w:rPr>
              <w:t>2</w:t>
            </w:r>
            <w:r w:rsidR="00C97E8E" w:rsidRPr="006206C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6206CC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6206CC" w14:paraId="7A2216BF" w14:textId="77777777">
        <w:tc>
          <w:tcPr>
            <w:tcW w:w="5000" w:type="pct"/>
            <w:shd w:val="clear" w:color="auto" w:fill="F3F3F3"/>
          </w:tcPr>
          <w:p w14:paraId="595E9BB7" w14:textId="77777777" w:rsidR="00CC7A5B" w:rsidRPr="00CC7A5B" w:rsidRDefault="00CC7A5B" w:rsidP="00CC7A5B">
            <w:pPr>
              <w:pStyle w:val="ListParagraph"/>
              <w:spacing w:before="120"/>
              <w:rPr>
                <w:rFonts w:cs="Calibri"/>
                <w:b/>
                <w:i/>
              </w:rPr>
            </w:pPr>
            <w:r w:rsidRPr="00CC7A5B">
              <w:rPr>
                <w:b/>
              </w:rPr>
              <w:t>Structures et pouvoirs des tribunaux fédéraux et provinciaux, ainsi que des tribunaux administratifs :</w:t>
            </w:r>
          </w:p>
          <w:p w14:paraId="1D88B2B2" w14:textId="77777777" w:rsidR="00CC7A5B" w:rsidRPr="009A3DCF" w:rsidRDefault="00CC7A5B" w:rsidP="00CC7A5B">
            <w:pPr>
              <w:pStyle w:val="Elaborationquestions"/>
              <w:spacing w:before="20" w:after="20"/>
            </w:pPr>
            <w:r w:rsidRPr="009A3DCF">
              <w:t>Exemples de sujets :</w:t>
            </w:r>
          </w:p>
          <w:p w14:paraId="203C09C4" w14:textId="77777777" w:rsidR="00CC7A5B" w:rsidRPr="009A3DCF" w:rsidRDefault="00CC7A5B" w:rsidP="00CC7A5B">
            <w:pPr>
              <w:pStyle w:val="ListParagraphindent"/>
              <w:spacing w:after="20"/>
            </w:pPr>
            <w:r w:rsidRPr="009A3DCF">
              <w:t>lois discriminatoires et processus de réforme</w:t>
            </w:r>
          </w:p>
          <w:p w14:paraId="3A4F7966" w14:textId="77777777" w:rsidR="00CC7A5B" w:rsidRPr="009A3DCF" w:rsidRDefault="00CC7A5B" w:rsidP="00CC7A5B">
            <w:pPr>
              <w:pStyle w:val="ListParagraphindent"/>
              <w:spacing w:after="20"/>
            </w:pPr>
            <w:r w:rsidRPr="009A3DCF">
              <w:t>importance de l’indépendance de l’appareil judiciaire et des avocats</w:t>
            </w:r>
          </w:p>
          <w:p w14:paraId="15F105B0" w14:textId="77777777" w:rsidR="00CC7A5B" w:rsidRPr="009A3DCF" w:rsidRDefault="00CC7A5B" w:rsidP="00CC7A5B">
            <w:pPr>
              <w:pStyle w:val="ListParagraphindent"/>
              <w:spacing w:after="20"/>
            </w:pPr>
            <w:r w:rsidRPr="009A3DCF">
              <w:t xml:space="preserve">droit jurisprudentiel et </w:t>
            </w:r>
            <w:proofErr w:type="spellStart"/>
            <w:r w:rsidRPr="009A3DCF">
              <w:t>common</w:t>
            </w:r>
            <w:proofErr w:type="spellEnd"/>
            <w:r w:rsidRPr="009A3DCF">
              <w:t xml:space="preserve"> </w:t>
            </w:r>
            <w:proofErr w:type="spellStart"/>
            <w:r w:rsidRPr="009A3DCF">
              <w:t>law</w:t>
            </w:r>
            <w:proofErr w:type="spellEnd"/>
          </w:p>
          <w:p w14:paraId="5A73FD4A" w14:textId="77777777" w:rsidR="00CC7A5B" w:rsidRPr="009A3DCF" w:rsidRDefault="00CC7A5B" w:rsidP="00CC7A5B">
            <w:pPr>
              <w:pStyle w:val="ListParagraphindent"/>
              <w:spacing w:after="20"/>
            </w:pPr>
            <w:r w:rsidRPr="009A3DCF">
              <w:t>rôle de la dissuasion et de la dénonciation dans le système correctionnel</w:t>
            </w:r>
          </w:p>
          <w:p w14:paraId="2EC8DD3F" w14:textId="77777777" w:rsidR="00CC7A5B" w:rsidRPr="009A3DCF" w:rsidRDefault="00CC7A5B" w:rsidP="00CC7A5B">
            <w:pPr>
              <w:pStyle w:val="ListParagraphindent"/>
              <w:spacing w:after="20"/>
            </w:pPr>
            <w:r w:rsidRPr="009A3DCF">
              <w:t>droits des victimes et Charte canadienne des droits des victimes</w:t>
            </w:r>
          </w:p>
          <w:p w14:paraId="6ADC79CC" w14:textId="77777777" w:rsidR="00CC7A5B" w:rsidRPr="009A3DCF" w:rsidRDefault="00CC7A5B" w:rsidP="00CC7A5B">
            <w:pPr>
              <w:pStyle w:val="ListParagraphindent"/>
              <w:spacing w:after="20"/>
            </w:pPr>
            <w:r w:rsidRPr="009A3DCF">
              <w:t>droits des accusés</w:t>
            </w:r>
          </w:p>
          <w:p w14:paraId="273984FE" w14:textId="77777777" w:rsidR="00CC7A5B" w:rsidRPr="009A3DCF" w:rsidRDefault="00CC7A5B" w:rsidP="00CC7A5B">
            <w:pPr>
              <w:pStyle w:val="ListParagraphindent"/>
              <w:spacing w:after="20"/>
            </w:pPr>
            <w:r w:rsidRPr="009A3DCF">
              <w:t>processus d’appel</w:t>
            </w:r>
          </w:p>
          <w:p w14:paraId="64AFBDBE" w14:textId="77777777" w:rsidR="00CC7A5B" w:rsidRPr="009A3DCF" w:rsidRDefault="00CC7A5B" w:rsidP="00CC7A5B">
            <w:pPr>
              <w:pStyle w:val="ListparagraphidentLastsub-bullet"/>
            </w:pPr>
            <w:r w:rsidRPr="009A3DCF">
              <w:t>petites créances</w:t>
            </w:r>
          </w:p>
          <w:p w14:paraId="450F0813" w14:textId="77777777" w:rsidR="00CC7A5B" w:rsidRPr="00CC7A5B" w:rsidRDefault="00CC7A5B" w:rsidP="00CC7A5B">
            <w:pPr>
              <w:pStyle w:val="ListParagraph"/>
              <w:rPr>
                <w:b/>
              </w:rPr>
            </w:pPr>
            <w:r w:rsidRPr="00CC7A5B">
              <w:rPr>
                <w:b/>
              </w:rPr>
              <w:t>Principaux domaines du droit, comme le droit criminel, le droit civil, le droit de la famille et le droit de la jeunesse :</w:t>
            </w:r>
          </w:p>
          <w:p w14:paraId="6CB5A9E0" w14:textId="77777777" w:rsidR="00CC7A5B" w:rsidRPr="009A3DCF" w:rsidRDefault="00CC7A5B" w:rsidP="00CC7A5B">
            <w:pPr>
              <w:pStyle w:val="Elaborationquestions"/>
              <w:spacing w:before="20" w:after="20"/>
            </w:pPr>
            <w:r w:rsidRPr="009A3DCF">
              <w:t>Exemples de sujets :</w:t>
            </w:r>
          </w:p>
          <w:p w14:paraId="1042E293" w14:textId="77777777" w:rsidR="00CC7A5B" w:rsidRPr="009A3DCF" w:rsidRDefault="00CC7A5B" w:rsidP="00CC7A5B">
            <w:pPr>
              <w:pStyle w:val="ListParagraphindent"/>
              <w:spacing w:after="20"/>
            </w:pPr>
            <w:r w:rsidRPr="009A3DCF">
              <w:t>Code criminel</w:t>
            </w:r>
          </w:p>
          <w:p w14:paraId="70FADFF7" w14:textId="77777777" w:rsidR="00CC7A5B" w:rsidRPr="009A3DCF" w:rsidRDefault="00CC7A5B" w:rsidP="00CC7A5B">
            <w:pPr>
              <w:pStyle w:val="ListParagraphindent"/>
              <w:spacing w:after="20"/>
            </w:pPr>
            <w:r w:rsidRPr="009A3DCF">
              <w:t>fardeau de la preuve (doute raisonnable vs prépondérance des probabilités)</w:t>
            </w:r>
          </w:p>
          <w:p w14:paraId="636EFA45" w14:textId="77777777" w:rsidR="00CC7A5B" w:rsidRPr="009A3DCF" w:rsidRDefault="00CC7A5B" w:rsidP="00CC7A5B">
            <w:pPr>
              <w:pStyle w:val="ListParagraphindent"/>
              <w:spacing w:after="20"/>
            </w:pPr>
            <w:r w:rsidRPr="009A3DCF">
              <w:t>importance des freins et contrepoids pour prévenir les condamnations injustifiées</w:t>
            </w:r>
          </w:p>
          <w:p w14:paraId="33840681" w14:textId="77777777" w:rsidR="00CC7A5B" w:rsidRPr="009A3DCF" w:rsidRDefault="00CC7A5B" w:rsidP="00CC7A5B">
            <w:pPr>
              <w:pStyle w:val="ListParagraphindent"/>
              <w:spacing w:after="20"/>
            </w:pPr>
            <w:r w:rsidRPr="009A3DCF">
              <w:t>Loi sur les jeunes contrevenants</w:t>
            </w:r>
          </w:p>
          <w:p w14:paraId="6AFA49BE" w14:textId="77777777" w:rsidR="00CC7A5B" w:rsidRPr="009A3DCF" w:rsidRDefault="00CC7A5B" w:rsidP="00CC7A5B">
            <w:pPr>
              <w:pStyle w:val="ListparagraphidentLastsub-bullet"/>
              <w:spacing w:after="120"/>
            </w:pPr>
            <w:r w:rsidRPr="009A3DCF">
              <w:t>Loi sur le système de justice pénale pour les adolescents</w:t>
            </w:r>
          </w:p>
          <w:p w14:paraId="60E74FE4" w14:textId="77777777" w:rsidR="00CC7A5B" w:rsidRPr="00CC7A5B" w:rsidRDefault="00CC7A5B" w:rsidP="00BE3582">
            <w:pPr>
              <w:pStyle w:val="ListParagraph"/>
              <w:spacing w:before="200" w:after="20"/>
              <w:rPr>
                <w:b/>
              </w:rPr>
            </w:pPr>
            <w:r w:rsidRPr="009A3DCF">
              <w:rPr>
                <w:b/>
              </w:rPr>
              <w:lastRenderedPageBreak/>
              <w:t>Législation canadienne concernant les peuples autochtones :</w:t>
            </w:r>
          </w:p>
          <w:p w14:paraId="5D8D93F0" w14:textId="5D640381" w:rsidR="00CC7A5B" w:rsidRPr="009A3DCF" w:rsidRDefault="00CC7A5B" w:rsidP="003E70FA">
            <w:pPr>
              <w:pStyle w:val="Elaborationquestions"/>
              <w:spacing w:before="20" w:after="0"/>
            </w:pPr>
            <w:r w:rsidRPr="009A3DCF">
              <w:t>Exemples de sujets :</w:t>
            </w:r>
          </w:p>
          <w:p w14:paraId="1B7147B0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>processus des traités</w:t>
            </w:r>
          </w:p>
          <w:p w14:paraId="63D7FB2F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>Proclamation royale de 1763</w:t>
            </w:r>
          </w:p>
          <w:p w14:paraId="6FCC2884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>Loi sur les Indiens</w:t>
            </w:r>
          </w:p>
          <w:p w14:paraId="063B461E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>Commission de vérité et de réconciliation</w:t>
            </w:r>
          </w:p>
          <w:p w14:paraId="2AFDB19C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>Loi constitutionnelle de 1982</w:t>
            </w:r>
          </w:p>
          <w:p w14:paraId="619376CD" w14:textId="77777777" w:rsidR="00CC7A5B" w:rsidRPr="009A3DCF" w:rsidRDefault="00CC7A5B" w:rsidP="003E70FA">
            <w:pPr>
              <w:pStyle w:val="ListparagraphidentLastsub-bullet"/>
              <w:spacing w:after="20"/>
            </w:pPr>
            <w:r w:rsidRPr="009A3DCF">
              <w:t>droit à l’autodétermination ou à l’autogestion</w:t>
            </w:r>
          </w:p>
          <w:p w14:paraId="44946C55" w14:textId="77777777" w:rsidR="00CC7A5B" w:rsidRPr="00CC7A5B" w:rsidRDefault="00CC7A5B" w:rsidP="00BE3582">
            <w:pPr>
              <w:pStyle w:val="ListParagraph"/>
              <w:spacing w:after="20"/>
              <w:rPr>
                <w:b/>
              </w:rPr>
            </w:pPr>
            <w:r w:rsidRPr="009A3DCF">
              <w:rPr>
                <w:b/>
              </w:rPr>
              <w:t xml:space="preserve">Ordres juridiques et lois traditionnelles autochtones au Canada et dans d’autres juridictions du monde : </w:t>
            </w:r>
          </w:p>
          <w:p w14:paraId="781C6C1C" w14:textId="24F0CA7A" w:rsidR="00CC7A5B" w:rsidRPr="009A3DCF" w:rsidRDefault="00CC7A5B" w:rsidP="003E70FA">
            <w:pPr>
              <w:pStyle w:val="Elaborationquestions"/>
              <w:spacing w:before="20" w:after="0"/>
            </w:pPr>
            <w:r w:rsidRPr="009A3DCF">
              <w:t>Exemples de sujets :</w:t>
            </w:r>
          </w:p>
          <w:p w14:paraId="756C5C17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 xml:space="preserve">lois de la nation </w:t>
            </w:r>
            <w:proofErr w:type="spellStart"/>
            <w:r w:rsidRPr="009A3DCF">
              <w:t>tlicho</w:t>
            </w:r>
            <w:proofErr w:type="spellEnd"/>
            <w:r w:rsidRPr="009A3DCF">
              <w:t xml:space="preserve"> visant la toponymie</w:t>
            </w:r>
          </w:p>
          <w:p w14:paraId="5915CA2D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 xml:space="preserve">histoires et traditions orales </w:t>
            </w:r>
            <w:proofErr w:type="spellStart"/>
            <w:r w:rsidRPr="009A3DCF">
              <w:t>gitksan</w:t>
            </w:r>
            <w:proofErr w:type="spellEnd"/>
          </w:p>
          <w:p w14:paraId="33FA08E0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 xml:space="preserve">prise de décisions décentralisée chez les </w:t>
            </w:r>
            <w:proofErr w:type="spellStart"/>
            <w:r w:rsidRPr="009A3DCF">
              <w:t>Gitksan</w:t>
            </w:r>
            <w:proofErr w:type="spellEnd"/>
          </w:p>
          <w:p w14:paraId="1A333BC4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>processus alternatifs de résolution de conflits, notamment la justice réparatrice</w:t>
            </w:r>
          </w:p>
          <w:p w14:paraId="3A887F22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 xml:space="preserve">liens historiques entre peuples comme base de négociation des frontières conventionnelles </w:t>
            </w:r>
          </w:p>
          <w:p w14:paraId="21820648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>responsabilités et obligations juridiques réciproques chez les Cris au sein de réseaux de parenté</w:t>
            </w:r>
          </w:p>
          <w:p w14:paraId="1437C436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 xml:space="preserve">droit du préjudice chez les </w:t>
            </w:r>
            <w:proofErr w:type="spellStart"/>
            <w:r w:rsidRPr="009A3DCF">
              <w:t>Tsimshian</w:t>
            </w:r>
            <w:proofErr w:type="spellEnd"/>
            <w:r w:rsidRPr="009A3DCF">
              <w:t xml:space="preserve"> et résolution patriarcale</w:t>
            </w:r>
          </w:p>
          <w:p w14:paraId="3A6F0D1B" w14:textId="04AA1CB4" w:rsidR="00CC7A5B" w:rsidRPr="009A3DCF" w:rsidRDefault="00CC7A5B" w:rsidP="003E70FA">
            <w:pPr>
              <w:pStyle w:val="ListparagraphidentLastsub-bullet"/>
              <w:spacing w:after="20"/>
            </w:pPr>
            <w:r w:rsidRPr="009A3DCF">
              <w:t xml:space="preserve">réseaux de parenté matrilinéaires ou patrilinéaires </w:t>
            </w:r>
          </w:p>
          <w:p w14:paraId="40220CD6" w14:textId="77777777" w:rsidR="00CC7A5B" w:rsidRPr="00CC7A5B" w:rsidRDefault="00CC7A5B" w:rsidP="00BE3582">
            <w:pPr>
              <w:pStyle w:val="ListParagraph"/>
              <w:spacing w:after="20"/>
              <w:rPr>
                <w:b/>
              </w:rPr>
            </w:pPr>
            <w:r w:rsidRPr="009A3DCF">
              <w:rPr>
                <w:b/>
              </w:rPr>
              <w:t>Système correctionnel du Canada et principes de réhabilitation, de sanction et de réintégration </w:t>
            </w:r>
            <w:r w:rsidRPr="009A3DCF">
              <w:rPr>
                <w:rFonts w:cs="Arial"/>
                <w:b/>
              </w:rPr>
              <w:t>:</w:t>
            </w:r>
          </w:p>
          <w:p w14:paraId="01A6E847" w14:textId="0D0CD3B2" w:rsidR="00CC7A5B" w:rsidRPr="009A3DCF" w:rsidRDefault="00CC7A5B" w:rsidP="003E70FA">
            <w:pPr>
              <w:pStyle w:val="Elaborationquestions"/>
              <w:spacing w:before="20" w:after="0"/>
            </w:pPr>
            <w:r w:rsidRPr="009A3DCF">
              <w:t>Exemples de sujets :</w:t>
            </w:r>
          </w:p>
          <w:p w14:paraId="7B298CFC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 xml:space="preserve">établissements correctionnels provinciaux et fédéraux </w:t>
            </w:r>
          </w:p>
          <w:p w14:paraId="04128B4D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>accès à l’éducation dans les établissements correctionnels</w:t>
            </w:r>
          </w:p>
          <w:p w14:paraId="5676A944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 xml:space="preserve">accès à la formation professionnelle dans les établissements correctionnels </w:t>
            </w:r>
          </w:p>
          <w:p w14:paraId="21487A8F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>structures financières et coûts de l’incarcération</w:t>
            </w:r>
          </w:p>
          <w:p w14:paraId="74928627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>établissements correctionnels pour jeunes contrevenants</w:t>
            </w:r>
          </w:p>
          <w:p w14:paraId="34318DF0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 xml:space="preserve">niveaux et types d’incarcération variés au sein d’un établissement correctionnel, et d’un établissement à un autre </w:t>
            </w:r>
          </w:p>
          <w:p w14:paraId="6C1F0F1F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>réponses communautaires au crime</w:t>
            </w:r>
          </w:p>
          <w:p w14:paraId="7E93F76B" w14:textId="77777777" w:rsidR="00CC7A5B" w:rsidRPr="009A3DCF" w:rsidRDefault="00CC7A5B" w:rsidP="003E70FA">
            <w:pPr>
              <w:pStyle w:val="ListparagraphidentLastsub-bullet"/>
              <w:spacing w:after="20"/>
            </w:pPr>
            <w:r w:rsidRPr="009A3DCF">
              <w:t>réintégration des libérés conditionnels dans la société, évaluation des risques et options de surveillance</w:t>
            </w:r>
          </w:p>
          <w:p w14:paraId="14952BD5" w14:textId="77777777" w:rsidR="00CC7A5B" w:rsidRPr="00CC7A5B" w:rsidRDefault="00CC7A5B" w:rsidP="00BE3582">
            <w:pPr>
              <w:pStyle w:val="ListParagraph"/>
              <w:spacing w:after="20"/>
              <w:rPr>
                <w:b/>
              </w:rPr>
            </w:pPr>
            <w:r w:rsidRPr="009A3DCF">
              <w:rPr>
                <w:b/>
              </w:rPr>
              <w:t>Structures et rôles des agences et des tribunaux internationaux de résolution de conflits :</w:t>
            </w:r>
            <w:r w:rsidRPr="009A3DCF">
              <w:t xml:space="preserve"> </w:t>
            </w:r>
          </w:p>
          <w:p w14:paraId="2AADF358" w14:textId="755337EB" w:rsidR="00CC7A5B" w:rsidRPr="009A3DCF" w:rsidRDefault="00CC7A5B" w:rsidP="003E70FA">
            <w:pPr>
              <w:pStyle w:val="Elaborationquestions"/>
              <w:spacing w:before="20" w:after="0"/>
            </w:pPr>
            <w:r w:rsidRPr="009A3DCF">
              <w:t>Exemples de</w:t>
            </w:r>
            <w:bookmarkStart w:id="0" w:name="_GoBack"/>
            <w:bookmarkEnd w:id="0"/>
            <w:r w:rsidRPr="009A3DCF">
              <w:t xml:space="preserve"> sujets :</w:t>
            </w:r>
          </w:p>
          <w:p w14:paraId="6E5D3827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>Cour internationale de Justice</w:t>
            </w:r>
          </w:p>
          <w:p w14:paraId="0940316C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>Organisation mondiale du commerce</w:t>
            </w:r>
          </w:p>
          <w:p w14:paraId="7EB4BC72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>Nations Unies</w:t>
            </w:r>
          </w:p>
          <w:p w14:paraId="76AE54CD" w14:textId="77777777" w:rsidR="00CC7A5B" w:rsidRPr="009A3DCF" w:rsidRDefault="00CC7A5B" w:rsidP="00BE3582">
            <w:pPr>
              <w:pStyle w:val="ListParagraphindent"/>
              <w:spacing w:after="20"/>
            </w:pPr>
            <w:r w:rsidRPr="009A3DCF">
              <w:t>conflits et accords commerciaux</w:t>
            </w:r>
          </w:p>
          <w:p w14:paraId="4C948E40" w14:textId="18F83230" w:rsidR="000A311F" w:rsidRPr="006206CC" w:rsidRDefault="00CC7A5B" w:rsidP="00BE3582">
            <w:pPr>
              <w:pStyle w:val="ListParagraphindent"/>
              <w:spacing w:after="80"/>
            </w:pPr>
            <w:r w:rsidRPr="009A3DCF">
              <w:t>initiatives mondiales sur les changements climatiques</w:t>
            </w:r>
          </w:p>
        </w:tc>
      </w:tr>
    </w:tbl>
    <w:p w14:paraId="6C97D3F9" w14:textId="7F586F34" w:rsidR="00861BC6" w:rsidRPr="006206CC" w:rsidRDefault="00861BC6" w:rsidP="00BE3582">
      <w:pPr>
        <w:spacing w:line="40" w:lineRule="exact"/>
        <w:rPr>
          <w:sz w:val="4"/>
          <w:szCs w:val="4"/>
        </w:rPr>
      </w:pPr>
    </w:p>
    <w:sectPr w:rsidR="00861BC6" w:rsidRPr="006206CC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3E70FA">
      <w:rPr>
        <w:rStyle w:val="PageNumber"/>
        <w:rFonts w:ascii="Helvetica" w:hAnsi="Helvetica"/>
        <w:i/>
        <w:noProof/>
        <w:sz w:val="20"/>
      </w:rPr>
      <w:t>4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7588B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B72D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7B4E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C12CF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C02E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6088E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65CF4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28B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C2D41"/>
    <w:multiLevelType w:val="hybridMultilevel"/>
    <w:tmpl w:val="57A6D39C"/>
    <w:lvl w:ilvl="0" w:tplc="C4B848E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13">
    <w:nsid w:val="08DB7714"/>
    <w:multiLevelType w:val="hybridMultilevel"/>
    <w:tmpl w:val="CA862E88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>
    <w:nsid w:val="0E643D8F"/>
    <w:multiLevelType w:val="hybridMultilevel"/>
    <w:tmpl w:val="96523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F3755F"/>
    <w:multiLevelType w:val="hybridMultilevel"/>
    <w:tmpl w:val="206634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3F1D42"/>
    <w:multiLevelType w:val="hybridMultilevel"/>
    <w:tmpl w:val="48461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C0336"/>
    <w:multiLevelType w:val="hybridMultilevel"/>
    <w:tmpl w:val="D5C46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571D16"/>
    <w:multiLevelType w:val="hybridMultilevel"/>
    <w:tmpl w:val="06506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FCF4B4C"/>
    <w:multiLevelType w:val="hybridMultilevel"/>
    <w:tmpl w:val="CD526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4F54E6"/>
    <w:multiLevelType w:val="hybridMultilevel"/>
    <w:tmpl w:val="6AB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BF26CC"/>
    <w:multiLevelType w:val="hybridMultilevel"/>
    <w:tmpl w:val="49FC9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A058F2"/>
    <w:multiLevelType w:val="hybridMultilevel"/>
    <w:tmpl w:val="EA8C8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514C0AAC"/>
    <w:multiLevelType w:val="hybridMultilevel"/>
    <w:tmpl w:val="22FEC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3FC35AA"/>
    <w:multiLevelType w:val="hybridMultilevel"/>
    <w:tmpl w:val="82C0A2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587C6281"/>
    <w:multiLevelType w:val="hybridMultilevel"/>
    <w:tmpl w:val="826266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68FA0E8F"/>
    <w:multiLevelType w:val="hybridMultilevel"/>
    <w:tmpl w:val="635E76D4"/>
    <w:lvl w:ilvl="0" w:tplc="04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2">
    <w:nsid w:val="69F52C3D"/>
    <w:multiLevelType w:val="hybridMultilevel"/>
    <w:tmpl w:val="B396F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45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135BF5"/>
    <w:multiLevelType w:val="hybridMultilevel"/>
    <w:tmpl w:val="3EA6B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3"/>
  </w:num>
  <w:num w:numId="4">
    <w:abstractNumId w:val="9"/>
  </w:num>
  <w:num w:numId="5">
    <w:abstractNumId w:val="44"/>
  </w:num>
  <w:num w:numId="6">
    <w:abstractNumId w:val="7"/>
  </w:num>
  <w:num w:numId="7">
    <w:abstractNumId w:val="12"/>
  </w:num>
  <w:num w:numId="8">
    <w:abstractNumId w:val="11"/>
  </w:num>
  <w:num w:numId="9">
    <w:abstractNumId w:val="38"/>
  </w:num>
  <w:num w:numId="10">
    <w:abstractNumId w:val="33"/>
  </w:num>
  <w:num w:numId="11">
    <w:abstractNumId w:val="45"/>
  </w:num>
  <w:num w:numId="12">
    <w:abstractNumId w:val="34"/>
  </w:num>
  <w:num w:numId="13">
    <w:abstractNumId w:val="40"/>
  </w:num>
  <w:num w:numId="14">
    <w:abstractNumId w:val="20"/>
  </w:num>
  <w:num w:numId="15">
    <w:abstractNumId w:val="31"/>
  </w:num>
  <w:num w:numId="16">
    <w:abstractNumId w:val="15"/>
  </w:num>
  <w:num w:numId="17">
    <w:abstractNumId w:val="22"/>
  </w:num>
  <w:num w:numId="18">
    <w:abstractNumId w:val="14"/>
  </w:num>
  <w:num w:numId="19">
    <w:abstractNumId w:val="42"/>
  </w:num>
  <w:num w:numId="20">
    <w:abstractNumId w:val="29"/>
  </w:num>
  <w:num w:numId="21">
    <w:abstractNumId w:val="27"/>
  </w:num>
  <w:num w:numId="22">
    <w:abstractNumId w:val="23"/>
  </w:num>
  <w:num w:numId="23">
    <w:abstractNumId w:val="30"/>
  </w:num>
  <w:num w:numId="24">
    <w:abstractNumId w:val="24"/>
  </w:num>
  <w:num w:numId="25">
    <w:abstractNumId w:val="48"/>
  </w:num>
  <w:num w:numId="26">
    <w:abstractNumId w:val="47"/>
  </w:num>
  <w:num w:numId="27">
    <w:abstractNumId w:val="36"/>
  </w:num>
  <w:num w:numId="28">
    <w:abstractNumId w:val="46"/>
  </w:num>
  <w:num w:numId="29">
    <w:abstractNumId w:val="25"/>
  </w:num>
  <w:num w:numId="30">
    <w:abstractNumId w:val="32"/>
  </w:num>
  <w:num w:numId="31">
    <w:abstractNumId w:val="21"/>
  </w:num>
  <w:num w:numId="32">
    <w:abstractNumId w:val="26"/>
  </w:num>
  <w:num w:numId="33">
    <w:abstractNumId w:val="17"/>
  </w:num>
  <w:num w:numId="34">
    <w:abstractNumId w:val="28"/>
  </w:num>
  <w:num w:numId="35">
    <w:abstractNumId w:val="41"/>
  </w:num>
  <w:num w:numId="36">
    <w:abstractNumId w:val="37"/>
  </w:num>
  <w:num w:numId="37">
    <w:abstractNumId w:val="10"/>
  </w:num>
  <w:num w:numId="38">
    <w:abstractNumId w:val="35"/>
  </w:num>
  <w:num w:numId="39">
    <w:abstractNumId w:val="13"/>
  </w:num>
  <w:num w:numId="40">
    <w:abstractNumId w:val="19"/>
  </w:num>
  <w:num w:numId="41">
    <w:abstractNumId w:val="0"/>
  </w:num>
  <w:num w:numId="42">
    <w:abstractNumId w:val="1"/>
  </w:num>
  <w:num w:numId="43">
    <w:abstractNumId w:val="2"/>
  </w:num>
  <w:num w:numId="44">
    <w:abstractNumId w:val="3"/>
  </w:num>
  <w:num w:numId="45">
    <w:abstractNumId w:val="4"/>
  </w:num>
  <w:num w:numId="46">
    <w:abstractNumId w:val="8"/>
  </w:num>
  <w:num w:numId="47">
    <w:abstractNumId w:val="5"/>
  </w:num>
  <w:num w:numId="48">
    <w:abstractNumId w:val="6"/>
  </w:num>
  <w:num w:numId="4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4D1"/>
    <w:rsid w:val="0001352B"/>
    <w:rsid w:val="000138E3"/>
    <w:rsid w:val="00022758"/>
    <w:rsid w:val="000232A8"/>
    <w:rsid w:val="00023C18"/>
    <w:rsid w:val="00035A4F"/>
    <w:rsid w:val="00036EEF"/>
    <w:rsid w:val="00051627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93F16"/>
    <w:rsid w:val="000A311F"/>
    <w:rsid w:val="000A3FAA"/>
    <w:rsid w:val="000B0B7E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9573C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207E"/>
    <w:rsid w:val="0031444E"/>
    <w:rsid w:val="00315439"/>
    <w:rsid w:val="00325792"/>
    <w:rsid w:val="00327C88"/>
    <w:rsid w:val="00333D6C"/>
    <w:rsid w:val="00334E04"/>
    <w:rsid w:val="00337DF2"/>
    <w:rsid w:val="003448A3"/>
    <w:rsid w:val="003579BC"/>
    <w:rsid w:val="0036132D"/>
    <w:rsid w:val="00362A29"/>
    <w:rsid w:val="00364762"/>
    <w:rsid w:val="0037420D"/>
    <w:rsid w:val="0037641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E70FA"/>
    <w:rsid w:val="003F1DB7"/>
    <w:rsid w:val="003F358C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6E43"/>
    <w:rsid w:val="00447D8B"/>
    <w:rsid w:val="00451F07"/>
    <w:rsid w:val="004554C0"/>
    <w:rsid w:val="00456D83"/>
    <w:rsid w:val="00457103"/>
    <w:rsid w:val="00462569"/>
    <w:rsid w:val="004665B1"/>
    <w:rsid w:val="00475367"/>
    <w:rsid w:val="00481839"/>
    <w:rsid w:val="00482426"/>
    <w:rsid w:val="00483E58"/>
    <w:rsid w:val="00486638"/>
    <w:rsid w:val="004902CC"/>
    <w:rsid w:val="004A07BA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6CC"/>
    <w:rsid w:val="00620D38"/>
    <w:rsid w:val="006211F9"/>
    <w:rsid w:val="00625B88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54624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14A9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A5452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61C0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611"/>
    <w:rsid w:val="008B2D23"/>
    <w:rsid w:val="008B6727"/>
    <w:rsid w:val="008B74A9"/>
    <w:rsid w:val="008B7F58"/>
    <w:rsid w:val="008C0693"/>
    <w:rsid w:val="008C5149"/>
    <w:rsid w:val="008D147F"/>
    <w:rsid w:val="008D5D46"/>
    <w:rsid w:val="008D6150"/>
    <w:rsid w:val="008D7B37"/>
    <w:rsid w:val="008E03B7"/>
    <w:rsid w:val="008E34CF"/>
    <w:rsid w:val="008E3502"/>
    <w:rsid w:val="008F4775"/>
    <w:rsid w:val="008F4DFC"/>
    <w:rsid w:val="00900F27"/>
    <w:rsid w:val="00902C1A"/>
    <w:rsid w:val="00904C7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E78CA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2B5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64F2C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4B18"/>
    <w:rsid w:val="00A95EB4"/>
    <w:rsid w:val="00A962B4"/>
    <w:rsid w:val="00A96AC1"/>
    <w:rsid w:val="00AA18D3"/>
    <w:rsid w:val="00AB2F24"/>
    <w:rsid w:val="00AB3E8E"/>
    <w:rsid w:val="00AC0EC3"/>
    <w:rsid w:val="00AC183C"/>
    <w:rsid w:val="00AC6B60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47E69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2463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3012"/>
    <w:rsid w:val="00BE3582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473EE"/>
    <w:rsid w:val="00C541A2"/>
    <w:rsid w:val="00C55AB5"/>
    <w:rsid w:val="00C56A8B"/>
    <w:rsid w:val="00C57750"/>
    <w:rsid w:val="00C61E0A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878BC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C7A5B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824"/>
    <w:rsid w:val="00DA1BF8"/>
    <w:rsid w:val="00DA79C0"/>
    <w:rsid w:val="00DB40C6"/>
    <w:rsid w:val="00DB4F66"/>
    <w:rsid w:val="00DB69B3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1AC0"/>
    <w:rsid w:val="00E2444A"/>
    <w:rsid w:val="00E25A17"/>
    <w:rsid w:val="00E271F0"/>
    <w:rsid w:val="00E34074"/>
    <w:rsid w:val="00E42427"/>
    <w:rsid w:val="00E43EEA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437B"/>
    <w:rsid w:val="00ED6CC1"/>
    <w:rsid w:val="00EF0B86"/>
    <w:rsid w:val="00EF2B92"/>
    <w:rsid w:val="00F01051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2F9F"/>
    <w:rsid w:val="00F5373F"/>
    <w:rsid w:val="00F57D07"/>
    <w:rsid w:val="00F60A99"/>
    <w:rsid w:val="00F61615"/>
    <w:rsid w:val="00F77988"/>
    <w:rsid w:val="00F803DE"/>
    <w:rsid w:val="00F81498"/>
    <w:rsid w:val="00F818F5"/>
    <w:rsid w:val="00F83D09"/>
    <w:rsid w:val="00F9586F"/>
    <w:rsid w:val="00F97A40"/>
    <w:rsid w:val="00FA19C2"/>
    <w:rsid w:val="00FA1EDA"/>
    <w:rsid w:val="00FA2BC6"/>
    <w:rsid w:val="00FB5D81"/>
    <w:rsid w:val="00FB5F13"/>
    <w:rsid w:val="00FB780F"/>
    <w:rsid w:val="00FC278A"/>
    <w:rsid w:val="00FC4809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C473EE"/>
    <w:pPr>
      <w:numPr>
        <w:numId w:val="0"/>
      </w:numPr>
      <w:spacing w:before="4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  <w:style w:type="paragraph" w:styleId="Revision">
    <w:name w:val="Revision"/>
    <w:hidden/>
    <w:uiPriority w:val="99"/>
    <w:semiHidden/>
    <w:rsid w:val="00F81498"/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7BF46-9EFA-874E-8AF4-C47C5378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1377</Words>
  <Characters>8092</Characters>
  <Application>Microsoft Macintosh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9451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324</cp:revision>
  <cp:lastPrinted>2018-07-25T17:19:00Z</cp:lastPrinted>
  <dcterms:created xsi:type="dcterms:W3CDTF">2018-06-07T23:51:00Z</dcterms:created>
  <dcterms:modified xsi:type="dcterms:W3CDTF">2018-08-03T19:05:00Z</dcterms:modified>
</cp:coreProperties>
</file>