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1355AE2F"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625805">
        <w:rPr>
          <w:b/>
          <w:sz w:val="28"/>
        </w:rPr>
        <w:t xml:space="preserve">SOCIAL STUDIES — </w:t>
      </w:r>
      <w:r w:rsidR="004D6B30">
        <w:rPr>
          <w:b/>
          <w:sz w:val="28"/>
        </w:rPr>
        <w:t>B.C. First Peoples</w:t>
      </w:r>
      <w:r w:rsidRPr="00B530F3">
        <w:rPr>
          <w:b/>
          <w:sz w:val="28"/>
        </w:rPr>
        <w:tab/>
      </w:r>
      <w:r w:rsidR="00625805">
        <w:rPr>
          <w:b/>
          <w:sz w:val="28"/>
        </w:rPr>
        <w:t>Grade 1</w:t>
      </w:r>
      <w:r w:rsidR="00E978E1">
        <w:rPr>
          <w:b/>
          <w:sz w:val="28"/>
        </w:rPr>
        <w:t>2</w:t>
      </w:r>
    </w:p>
    <w:p w14:paraId="2E070600" w14:textId="77777777" w:rsidR="0014420D" w:rsidRDefault="0014420D" w:rsidP="00627D2F">
      <w:pPr>
        <w:tabs>
          <w:tab w:val="right" w:pos="14232"/>
        </w:tabs>
        <w:spacing w:before="60"/>
        <w:rPr>
          <w:b/>
          <w:sz w:val="28"/>
        </w:rPr>
      </w:pPr>
      <w:r w:rsidRPr="00B530F3">
        <w:rPr>
          <w:b/>
          <w:sz w:val="28"/>
        </w:rPr>
        <w:tab/>
      </w:r>
    </w:p>
    <w:p w14:paraId="0A9FA85A" w14:textId="77777777" w:rsidR="00B66546" w:rsidRPr="00123905" w:rsidRDefault="00B66546" w:rsidP="00B66546">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715"/>
        <w:gridCol w:w="236"/>
        <w:gridCol w:w="3250"/>
        <w:gridCol w:w="240"/>
        <w:gridCol w:w="2522"/>
        <w:gridCol w:w="236"/>
        <w:gridCol w:w="3484"/>
      </w:tblGrid>
      <w:tr w:rsidR="004D6B30" w:rsidRPr="00F867E2" w14:paraId="5F9EDC66" w14:textId="77777777" w:rsidTr="004D6B30">
        <w:trPr>
          <w:jc w:val="center"/>
        </w:trPr>
        <w:tc>
          <w:tcPr>
            <w:tcW w:w="3715" w:type="dxa"/>
            <w:tcBorders>
              <w:top w:val="single" w:sz="2" w:space="0" w:color="auto"/>
              <w:left w:val="single" w:sz="2" w:space="0" w:color="auto"/>
              <w:bottom w:val="single" w:sz="2" w:space="0" w:color="auto"/>
              <w:right w:val="single" w:sz="2" w:space="0" w:color="auto"/>
            </w:tcBorders>
            <w:shd w:val="clear" w:color="auto" w:fill="FEECBC"/>
          </w:tcPr>
          <w:p w14:paraId="2A0A33E7" w14:textId="73889ACD" w:rsidR="00B66546" w:rsidRPr="00675F9A" w:rsidRDefault="004D6B30" w:rsidP="00DD1949">
            <w:pPr>
              <w:pStyle w:val="Tablestyle1"/>
              <w:rPr>
                <w:rFonts w:ascii="Helvetica" w:hAnsi="Helvetica" w:cs="Arial"/>
                <w:lang w:val="en-GB"/>
              </w:rPr>
            </w:pPr>
            <w:r w:rsidRPr="00A636B1">
              <w:rPr>
                <w:rFonts w:ascii="Helvetica" w:hAnsi="Helvetica"/>
                <w:szCs w:val="20"/>
              </w:rPr>
              <w:t>The identities, worldviews, and languages of B.C. First Peoples are renewed, sustained, and transformed through their connection to the land.</w:t>
            </w:r>
          </w:p>
        </w:tc>
        <w:tc>
          <w:tcPr>
            <w:tcW w:w="236" w:type="dxa"/>
            <w:tcBorders>
              <w:top w:val="nil"/>
              <w:left w:val="single" w:sz="2" w:space="0" w:color="auto"/>
              <w:bottom w:val="nil"/>
              <w:right w:val="single" w:sz="2" w:space="0" w:color="auto"/>
            </w:tcBorders>
            <w:shd w:val="clear" w:color="auto" w:fill="auto"/>
          </w:tcPr>
          <w:p w14:paraId="6475E907" w14:textId="77777777" w:rsidR="00B66546" w:rsidRPr="00675F9A" w:rsidRDefault="00B66546" w:rsidP="00DD1949">
            <w:pPr>
              <w:spacing w:before="120" w:after="120"/>
              <w:jc w:val="center"/>
              <w:rPr>
                <w:rFonts w:cs="Arial"/>
                <w:sz w:val="20"/>
                <w:lang w:val="en-GB"/>
              </w:rPr>
            </w:pPr>
          </w:p>
        </w:tc>
        <w:tc>
          <w:tcPr>
            <w:tcW w:w="3250" w:type="dxa"/>
            <w:tcBorders>
              <w:top w:val="single" w:sz="2" w:space="0" w:color="auto"/>
              <w:left w:val="single" w:sz="2" w:space="0" w:color="auto"/>
              <w:bottom w:val="single" w:sz="2" w:space="0" w:color="auto"/>
              <w:right w:val="single" w:sz="2" w:space="0" w:color="auto"/>
            </w:tcBorders>
            <w:shd w:val="clear" w:color="auto" w:fill="FEECBC"/>
          </w:tcPr>
          <w:p w14:paraId="1A798FA8" w14:textId="17DC7BA7" w:rsidR="00B66546" w:rsidRPr="00675F9A" w:rsidRDefault="004D6B30" w:rsidP="00DD1949">
            <w:pPr>
              <w:pStyle w:val="Tablestyle1"/>
              <w:rPr>
                <w:rFonts w:cs="Arial"/>
                <w:lang w:val="en-GB"/>
              </w:rPr>
            </w:pPr>
            <w:r w:rsidRPr="00A636B1">
              <w:rPr>
                <w:rFonts w:ascii="Helvetica" w:hAnsi="Helvetica"/>
                <w:szCs w:val="20"/>
              </w:rPr>
              <w:t xml:space="preserve">The impact of contact and colonialism continues to affect </w:t>
            </w:r>
            <w:r>
              <w:rPr>
                <w:rFonts w:ascii="Helvetica" w:hAnsi="Helvetica"/>
                <w:szCs w:val="20"/>
              </w:rPr>
              <w:br/>
            </w:r>
            <w:r w:rsidRPr="00A636B1">
              <w:rPr>
                <w:rFonts w:ascii="Helvetica" w:hAnsi="Helvetica"/>
                <w:szCs w:val="20"/>
              </w:rPr>
              <w:t>the political, social, and economic lives of B.C. First Peoples.</w:t>
            </w:r>
          </w:p>
        </w:tc>
        <w:tc>
          <w:tcPr>
            <w:tcW w:w="240" w:type="dxa"/>
            <w:tcBorders>
              <w:top w:val="nil"/>
              <w:left w:val="single" w:sz="2" w:space="0" w:color="auto"/>
              <w:bottom w:val="nil"/>
              <w:right w:val="single" w:sz="2" w:space="0" w:color="auto"/>
            </w:tcBorders>
          </w:tcPr>
          <w:p w14:paraId="4488D8E7" w14:textId="77777777" w:rsidR="00B66546" w:rsidRPr="00675F9A" w:rsidRDefault="00B66546" w:rsidP="00DD1949">
            <w:pPr>
              <w:spacing w:before="120" w:after="120"/>
              <w:jc w:val="center"/>
              <w:rPr>
                <w:rFonts w:cs="Arial"/>
                <w:sz w:val="20"/>
                <w:lang w:val="en-GB"/>
              </w:rPr>
            </w:pPr>
          </w:p>
        </w:tc>
        <w:tc>
          <w:tcPr>
            <w:tcW w:w="2522" w:type="dxa"/>
            <w:tcBorders>
              <w:top w:val="single" w:sz="2" w:space="0" w:color="auto"/>
              <w:left w:val="single" w:sz="2" w:space="0" w:color="auto"/>
              <w:bottom w:val="single" w:sz="2" w:space="0" w:color="auto"/>
              <w:right w:val="single" w:sz="2" w:space="0" w:color="auto"/>
            </w:tcBorders>
            <w:shd w:val="clear" w:color="auto" w:fill="FEECBC"/>
          </w:tcPr>
          <w:p w14:paraId="50F5EA96" w14:textId="11CD9BBE" w:rsidR="00B66546" w:rsidRPr="00675F9A" w:rsidRDefault="004D6B30" w:rsidP="00DD1949">
            <w:pPr>
              <w:pStyle w:val="Tablestyle1"/>
              <w:rPr>
                <w:rFonts w:cs="Arial"/>
                <w:lang w:val="en-GB"/>
              </w:rPr>
            </w:pPr>
            <w:r w:rsidRPr="00A636B1">
              <w:rPr>
                <w:rFonts w:ascii="Helvetica" w:hAnsi="Helvetica"/>
                <w:szCs w:val="20"/>
              </w:rPr>
              <w:t xml:space="preserve">Cultural expressions convey the richness, diversity, and resiliency </w:t>
            </w:r>
            <w:r>
              <w:rPr>
                <w:rFonts w:ascii="Helvetica" w:hAnsi="Helvetica"/>
                <w:szCs w:val="20"/>
              </w:rPr>
              <w:br/>
            </w:r>
            <w:r w:rsidRPr="00A636B1">
              <w:rPr>
                <w:rFonts w:ascii="Helvetica" w:hAnsi="Helvetica"/>
                <w:szCs w:val="20"/>
              </w:rPr>
              <w:t>of B.C. First Peoples.</w:t>
            </w:r>
          </w:p>
        </w:tc>
        <w:tc>
          <w:tcPr>
            <w:tcW w:w="236" w:type="dxa"/>
            <w:tcBorders>
              <w:top w:val="nil"/>
              <w:left w:val="single" w:sz="2" w:space="0" w:color="auto"/>
              <w:bottom w:val="nil"/>
              <w:right w:val="single" w:sz="2" w:space="0" w:color="auto"/>
            </w:tcBorders>
            <w:shd w:val="clear" w:color="auto" w:fill="auto"/>
          </w:tcPr>
          <w:p w14:paraId="05356013" w14:textId="77777777" w:rsidR="00B66546" w:rsidRPr="00675F9A" w:rsidRDefault="00B66546" w:rsidP="00DD1949">
            <w:pPr>
              <w:spacing w:before="120" w:after="120"/>
              <w:jc w:val="center"/>
              <w:rPr>
                <w:rFonts w:cs="Arial"/>
                <w:sz w:val="20"/>
                <w:lang w:val="en-GB"/>
              </w:rPr>
            </w:pPr>
          </w:p>
        </w:tc>
        <w:tc>
          <w:tcPr>
            <w:tcW w:w="3484" w:type="dxa"/>
            <w:tcBorders>
              <w:top w:val="single" w:sz="2" w:space="0" w:color="auto"/>
              <w:left w:val="single" w:sz="2" w:space="0" w:color="auto"/>
              <w:bottom w:val="single" w:sz="2" w:space="0" w:color="auto"/>
              <w:right w:val="single" w:sz="2" w:space="0" w:color="auto"/>
            </w:tcBorders>
            <w:shd w:val="clear" w:color="auto" w:fill="FEECBC"/>
          </w:tcPr>
          <w:p w14:paraId="6BB37BBC" w14:textId="3B92C1D9" w:rsidR="00B66546" w:rsidRPr="00675F9A" w:rsidRDefault="004D6B30" w:rsidP="00DD1949">
            <w:pPr>
              <w:pStyle w:val="Tablestyle1"/>
              <w:rPr>
                <w:rFonts w:ascii="Helvetica" w:hAnsi="Helvetica" w:cs="Arial"/>
                <w:lang w:val="en-GB"/>
              </w:rPr>
            </w:pPr>
            <w:r w:rsidRPr="00A636B1">
              <w:rPr>
                <w:rFonts w:ascii="Helvetica" w:hAnsi="Helvetica"/>
                <w:szCs w:val="20"/>
              </w:rPr>
              <w:t>Through self-governance, leadership, and self-determination, B.C. First Peoples challenge and resist Canada's ongoing colonialism.</w:t>
            </w:r>
          </w:p>
        </w:tc>
      </w:tr>
    </w:tbl>
    <w:p w14:paraId="3045E821" w14:textId="77777777" w:rsidR="00670E49" w:rsidRPr="00FC6F80" w:rsidRDefault="00670E49" w:rsidP="00627D2F">
      <w:pPr>
        <w:rPr>
          <w:sz w:val="16"/>
          <w:szCs w:val="16"/>
        </w:rPr>
      </w:pPr>
      <w:bookmarkStart w:id="0" w:name="_GoBack"/>
    </w:p>
    <w:bookmarkEnd w:id="0"/>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gridCol w:w="5005"/>
      </w:tblGrid>
      <w:tr w:rsidR="004D6B30" w:rsidRPr="00B530F3" w14:paraId="7C49560F" w14:textId="77777777" w:rsidTr="004D6B30">
        <w:tc>
          <w:tcPr>
            <w:tcW w:w="322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177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4D6B30" w:rsidRPr="00B530F3" w14:paraId="5149B766" w14:textId="77777777" w:rsidTr="004D6B30">
        <w:trPr>
          <w:trHeight w:val="484"/>
        </w:trPr>
        <w:tc>
          <w:tcPr>
            <w:tcW w:w="3227"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11E8717" w14:textId="740B52B2" w:rsidR="004D6B30" w:rsidRPr="004D6B30" w:rsidRDefault="004D6B30" w:rsidP="004D6B30">
            <w:pPr>
              <w:pStyle w:val="ListParagraph"/>
              <w:rPr>
                <w:b/>
                <w:i/>
              </w:rPr>
            </w:pPr>
            <w:r w:rsidRPr="004D6B30">
              <w:rPr>
                <w:b/>
              </w:rPr>
              <w:t xml:space="preserve">Use Social Studies inquiry processes and skills to ask questions; gather, interpret, </w:t>
            </w:r>
            <w:r>
              <w:rPr>
                <w:b/>
              </w:rPr>
              <w:br/>
            </w:r>
            <w:r w:rsidRPr="004D6B30">
              <w:rPr>
                <w:b/>
              </w:rPr>
              <w:t>and analyze ideas; and communicate findings and decisions</w:t>
            </w:r>
          </w:p>
          <w:p w14:paraId="3B317A43" w14:textId="717061F5" w:rsidR="004D6B30" w:rsidRPr="004D6B30" w:rsidRDefault="004D6B30" w:rsidP="004D6B30">
            <w:pPr>
              <w:pStyle w:val="ListParagraph"/>
              <w:rPr>
                <w:b/>
              </w:rPr>
            </w:pPr>
            <w:r w:rsidRPr="004D6B30">
              <w:rPr>
                <w:b/>
              </w:rPr>
              <w:t xml:space="preserve">Assess the significance of people, events, places, issues, or developments in the </w:t>
            </w:r>
            <w:r>
              <w:rPr>
                <w:b/>
              </w:rPr>
              <w:br/>
            </w:r>
            <w:r w:rsidRPr="004D6B30">
              <w:rPr>
                <w:b/>
              </w:rPr>
              <w:t>past and present (significance)</w:t>
            </w:r>
          </w:p>
          <w:p w14:paraId="742C2E62" w14:textId="77777777" w:rsidR="004D6B30" w:rsidRPr="00A636B1" w:rsidRDefault="004D6B30" w:rsidP="004D6B30">
            <w:pPr>
              <w:pStyle w:val="ListParagraph"/>
              <w:rPr>
                <w:b/>
              </w:rPr>
            </w:pPr>
            <w:r w:rsidRPr="00A636B1">
              <w:t>Identify what the creators of accounts, narratives, or maps have determined to be significant (significance)</w:t>
            </w:r>
          </w:p>
          <w:p w14:paraId="5DFC61D5" w14:textId="77777777" w:rsidR="004D6B30" w:rsidRPr="004D6B30" w:rsidRDefault="004D6B30" w:rsidP="004D6B30">
            <w:pPr>
              <w:pStyle w:val="ListParagraph"/>
              <w:rPr>
                <w:b/>
                <w:i/>
                <w:spacing w:val="-3"/>
              </w:rPr>
            </w:pPr>
            <w:r w:rsidRPr="004D6B30">
              <w:rPr>
                <w:spacing w:val="-3"/>
              </w:rPr>
              <w:t xml:space="preserve">Using appropriate </w:t>
            </w:r>
            <w:r w:rsidRPr="004D6B30">
              <w:rPr>
                <w:b/>
                <w:spacing w:val="-3"/>
              </w:rPr>
              <w:t>protocols</w:t>
            </w:r>
            <w:r w:rsidRPr="004D6B30">
              <w:rPr>
                <w:spacing w:val="-3"/>
              </w:rPr>
              <w:t>, interpret a variety of sources, including local stories or oral traditions, and Indigenous ways of knowing (holistic, experiential, reflective, and relational experiences, and memory) to contextualize different events in the past and present (evidence)</w:t>
            </w:r>
          </w:p>
          <w:p w14:paraId="36420883" w14:textId="77777777" w:rsidR="004D6B30" w:rsidRPr="004D6B30" w:rsidRDefault="004D6B30" w:rsidP="004D6B30">
            <w:pPr>
              <w:pStyle w:val="ListParagraph"/>
              <w:rPr>
                <w:b/>
                <w:i/>
                <w:spacing w:val="-4"/>
              </w:rPr>
            </w:pPr>
            <w:r w:rsidRPr="004D6B30">
              <w:rPr>
                <w:b/>
                <w:spacing w:val="-4"/>
              </w:rPr>
              <w:t xml:space="preserve">Characterize different time periods in history, including examples of progress and decline, and identify key turning points that marked periods of change (continuity and change) </w:t>
            </w:r>
          </w:p>
          <w:p w14:paraId="1E4D6528" w14:textId="157B6783" w:rsidR="004D6B30" w:rsidRPr="00A636B1" w:rsidRDefault="004D6B30" w:rsidP="004D6B30">
            <w:pPr>
              <w:pStyle w:val="ListParagraph"/>
              <w:rPr>
                <w:i/>
              </w:rPr>
            </w:pPr>
            <w:r w:rsidRPr="004D6B30">
              <w:rPr>
                <w:b/>
              </w:rPr>
              <w:t xml:space="preserve">Assess the long- and short-term causes and consequences, and the intended and unintended consequences, of an action, event, decision, or development (cause </w:t>
            </w:r>
            <w:r>
              <w:rPr>
                <w:b/>
              </w:rPr>
              <w:br/>
            </w:r>
            <w:r w:rsidRPr="004D6B30">
              <w:rPr>
                <w:b/>
              </w:rPr>
              <w:t>and consequence)</w:t>
            </w:r>
          </w:p>
          <w:p w14:paraId="1A2E61A9" w14:textId="3A3EC383" w:rsidR="004D6B30" w:rsidRPr="00A636B1" w:rsidRDefault="004D6B30" w:rsidP="004D6B30">
            <w:pPr>
              <w:pStyle w:val="ListParagraph"/>
              <w:rPr>
                <w:b/>
                <w:i/>
              </w:rPr>
            </w:pPr>
            <w:r w:rsidRPr="00A636B1">
              <w:t xml:space="preserve">Assess the connectedness or the reciprocal relationship between people and place </w:t>
            </w:r>
            <w:r>
              <w:br/>
            </w:r>
            <w:r w:rsidRPr="00A636B1">
              <w:t>(cause and consequence)</w:t>
            </w:r>
          </w:p>
          <w:p w14:paraId="006557BB" w14:textId="14DF57E7" w:rsidR="004D6B30" w:rsidRPr="00A636B1" w:rsidRDefault="004D6B30" w:rsidP="004D6B30">
            <w:pPr>
              <w:pStyle w:val="ListParagraph"/>
              <w:rPr>
                <w:b/>
                <w:i/>
              </w:rPr>
            </w:pPr>
            <w:r w:rsidRPr="00A636B1">
              <w:t xml:space="preserve">Explain different perspectives on past and present people, places, issues, or events, </w:t>
            </w:r>
            <w:r>
              <w:br/>
            </w:r>
            <w:r w:rsidRPr="00A636B1">
              <w:t>and distinguish between worldviews of today and the past (perspective)</w:t>
            </w:r>
          </w:p>
          <w:p w14:paraId="4AE35169" w14:textId="573BEE31" w:rsidR="004D6B30" w:rsidRPr="00A636B1" w:rsidRDefault="004D6B30" w:rsidP="004D6B30">
            <w:pPr>
              <w:pStyle w:val="ListParagraph"/>
              <w:rPr>
                <w:b/>
                <w:i/>
              </w:rPr>
            </w:pPr>
            <w:r w:rsidRPr="00A636B1">
              <w:t xml:space="preserve">Explain and infer perspectives and sense of place, and compare varying perspectives </w:t>
            </w:r>
            <w:r>
              <w:br/>
            </w:r>
            <w:r w:rsidRPr="00A636B1">
              <w:t>on land and place (perspective)</w:t>
            </w:r>
          </w:p>
          <w:p w14:paraId="61D86295" w14:textId="0DB716FF" w:rsidR="00CC39FB" w:rsidRPr="004D6B30" w:rsidRDefault="004D6B30" w:rsidP="004D6B30">
            <w:pPr>
              <w:pStyle w:val="ListParagraph"/>
              <w:spacing w:after="80"/>
              <w:rPr>
                <w:b/>
              </w:rPr>
            </w:pPr>
            <w:r w:rsidRPr="004D6B30">
              <w:rPr>
                <w:b/>
              </w:rPr>
              <w:t>Make reasoned ethical judgments about actions in the past and present, and assess appropriate ways to remember, reconcile, or respond (ethical judgment)</w:t>
            </w:r>
          </w:p>
        </w:tc>
        <w:tc>
          <w:tcPr>
            <w:tcW w:w="1773"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36C65414" w14:textId="77777777" w:rsidR="004D6B30" w:rsidRPr="004D6B30" w:rsidRDefault="004D6B30" w:rsidP="004D6B30">
            <w:pPr>
              <w:pStyle w:val="ListParagraph"/>
              <w:rPr>
                <w:b/>
              </w:rPr>
            </w:pPr>
            <w:r w:rsidRPr="004D6B30">
              <w:rPr>
                <w:b/>
              </w:rPr>
              <w:t>traditional territories of the B.C. First Nations and relationships with the land</w:t>
            </w:r>
          </w:p>
          <w:p w14:paraId="71944FD7" w14:textId="77777777" w:rsidR="004D6B30" w:rsidRPr="004D6B30" w:rsidRDefault="004D6B30" w:rsidP="004D6B30">
            <w:pPr>
              <w:pStyle w:val="ListParagraph"/>
              <w:rPr>
                <w:b/>
              </w:rPr>
            </w:pPr>
            <w:r w:rsidRPr="004D6B30">
              <w:rPr>
                <w:b/>
              </w:rPr>
              <w:t>role of oral tradition for B.C. First Peoples</w:t>
            </w:r>
          </w:p>
          <w:p w14:paraId="61C7DD5F" w14:textId="2CC8D7BA" w:rsidR="004D6B30" w:rsidRPr="004D6B30" w:rsidRDefault="004D6B30" w:rsidP="004D6B30">
            <w:pPr>
              <w:pStyle w:val="ListParagraph"/>
              <w:rPr>
                <w:b/>
              </w:rPr>
            </w:pPr>
            <w:r w:rsidRPr="004D6B30">
              <w:rPr>
                <w:b/>
              </w:rPr>
              <w:t xml:space="preserve">impact of historical exchanges of ideas, practices, and materials among local </w:t>
            </w:r>
            <w:r>
              <w:rPr>
                <w:b/>
              </w:rPr>
              <w:br/>
            </w:r>
            <w:r w:rsidRPr="004D6B30">
              <w:rPr>
                <w:b/>
              </w:rPr>
              <w:t>B.C. First Peoples and with non-indigenous peoples</w:t>
            </w:r>
          </w:p>
          <w:p w14:paraId="4B845F80" w14:textId="3008C068" w:rsidR="004D6B30" w:rsidRPr="004D6B30" w:rsidRDefault="004D6B30" w:rsidP="004D6B30">
            <w:pPr>
              <w:pStyle w:val="ListParagraph"/>
              <w:rPr>
                <w:b/>
              </w:rPr>
            </w:pPr>
            <w:r w:rsidRPr="004D6B30">
              <w:rPr>
                <w:b/>
              </w:rPr>
              <w:t xml:space="preserve">provincial and federal government policies and practices that have affected, and continue to affect, the responses of </w:t>
            </w:r>
            <w:r>
              <w:rPr>
                <w:b/>
              </w:rPr>
              <w:br/>
            </w:r>
            <w:r w:rsidRPr="004D6B30">
              <w:rPr>
                <w:b/>
              </w:rPr>
              <w:t>B.C. First Peoples to colonialism</w:t>
            </w:r>
          </w:p>
          <w:p w14:paraId="3050911C" w14:textId="5ACA1458" w:rsidR="004D6B30" w:rsidRPr="004D6B30" w:rsidRDefault="004D6B30" w:rsidP="004D6B30">
            <w:pPr>
              <w:pStyle w:val="ListParagraph"/>
              <w:rPr>
                <w:b/>
              </w:rPr>
            </w:pPr>
            <w:r w:rsidRPr="004D6B30">
              <w:rPr>
                <w:b/>
              </w:rPr>
              <w:t xml:space="preserve">resistance of B.C. First Peoples </w:t>
            </w:r>
            <w:r>
              <w:rPr>
                <w:b/>
              </w:rPr>
              <w:br/>
            </w:r>
            <w:r w:rsidRPr="004D6B30">
              <w:rPr>
                <w:b/>
              </w:rPr>
              <w:t>to colonialism</w:t>
            </w:r>
          </w:p>
          <w:p w14:paraId="1DDBB052" w14:textId="77777777" w:rsidR="004D6B30" w:rsidRPr="004D6B30" w:rsidRDefault="004D6B30" w:rsidP="004D6B30">
            <w:pPr>
              <w:pStyle w:val="ListParagraph"/>
              <w:rPr>
                <w:b/>
              </w:rPr>
            </w:pPr>
            <w:r w:rsidRPr="004D6B30">
              <w:rPr>
                <w:b/>
              </w:rPr>
              <w:t>role and significance of media in challenging and supporting the continuity of culture, language, and self-determination of B.C. First Peoples</w:t>
            </w:r>
          </w:p>
          <w:p w14:paraId="100808C4" w14:textId="77777777" w:rsidR="004D6B30" w:rsidRPr="004D6B30" w:rsidRDefault="004D6B30" w:rsidP="004D6B30">
            <w:pPr>
              <w:pStyle w:val="ListParagraph"/>
              <w:rPr>
                <w:b/>
              </w:rPr>
            </w:pPr>
            <w:r w:rsidRPr="004D6B30">
              <w:rPr>
                <w:b/>
              </w:rPr>
              <w:t xml:space="preserve">commonalities and differences between governance systems of traditional and contemporary B.C. First Peoples </w:t>
            </w:r>
          </w:p>
          <w:p w14:paraId="03C90176" w14:textId="1F450BEA" w:rsidR="00CC39FB" w:rsidRPr="00400F30" w:rsidRDefault="004D6B30" w:rsidP="004D6B30">
            <w:pPr>
              <w:pStyle w:val="ListParagraph"/>
            </w:pPr>
            <w:r w:rsidRPr="004D6B30">
              <w:rPr>
                <w:b/>
              </w:rPr>
              <w:t>contemporary challenges facing B.C. First Peoples, including legacies of colonialism</w:t>
            </w:r>
          </w:p>
        </w:tc>
      </w:tr>
    </w:tbl>
    <w:p w14:paraId="08CF9400" w14:textId="77777777" w:rsidR="00F9586F" w:rsidRPr="009E3211" w:rsidRDefault="00F9586F" w:rsidP="00627D2F">
      <w:pPr>
        <w:rPr>
          <w:sz w:val="2"/>
          <w:szCs w:val="2"/>
        </w:rPr>
      </w:pPr>
    </w:p>
    <w:sectPr w:rsidR="00F9586F" w:rsidRPr="009E3211" w:rsidSect="008704D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DF7A14" w:rsidR="00FE1345" w:rsidRPr="00E80591" w:rsidRDefault="00E978E1"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FC6F80">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44003A5"/>
    <w:multiLevelType w:val="hybridMultilevel"/>
    <w:tmpl w:val="F844D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41FCC"/>
    <w:multiLevelType w:val="hybridMultilevel"/>
    <w:tmpl w:val="2D325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E652CDC"/>
    <w:multiLevelType w:val="hybridMultilevel"/>
    <w:tmpl w:val="F7621A7E"/>
    <w:lvl w:ilvl="0" w:tplc="0B0E930A">
      <w:start w:val="1"/>
      <w:numFmt w:val="bullet"/>
      <w:pStyle w:val="ListParagraph"/>
      <w:lvlText w:val=""/>
      <w:lvlJc w:val="left"/>
      <w:pPr>
        <w:tabs>
          <w:tab w:val="num" w:pos="600"/>
        </w:tabs>
        <w:ind w:left="600" w:hanging="240"/>
      </w:pPr>
      <w:rPr>
        <w:rFonts w:ascii="Symbol" w:hAnsi="Symbol" w:hint="default"/>
      </w:rPr>
    </w:lvl>
    <w:lvl w:ilvl="1" w:tplc="BB0A2864">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2443840"/>
    <w:multiLevelType w:val="hybridMultilevel"/>
    <w:tmpl w:val="5F720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DBC4D60"/>
    <w:multiLevelType w:val="hybridMultilevel"/>
    <w:tmpl w:val="5C9C6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E162D14"/>
    <w:multiLevelType w:val="hybridMultilevel"/>
    <w:tmpl w:val="41E678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14F54E6"/>
    <w:multiLevelType w:val="hybridMultilevel"/>
    <w:tmpl w:val="6ABA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9F19FB"/>
    <w:multiLevelType w:val="hybridMultilevel"/>
    <w:tmpl w:val="BC0E0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2A66A4E"/>
    <w:multiLevelType w:val="hybridMultilevel"/>
    <w:tmpl w:val="FBC6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5">
    <w:nsid w:val="71B56A65"/>
    <w:multiLevelType w:val="hybridMultilevel"/>
    <w:tmpl w:val="C5AAB1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3"/>
  </w:num>
  <w:num w:numId="4">
    <w:abstractNumId w:val="1"/>
  </w:num>
  <w:num w:numId="5">
    <w:abstractNumId w:val="14"/>
  </w:num>
  <w:num w:numId="6">
    <w:abstractNumId w:val="0"/>
  </w:num>
  <w:num w:numId="7">
    <w:abstractNumId w:val="12"/>
  </w:num>
  <w:num w:numId="8">
    <w:abstractNumId w:val="16"/>
  </w:num>
  <w:num w:numId="9">
    <w:abstractNumId w:val="11"/>
  </w:num>
  <w:num w:numId="10">
    <w:abstractNumId w:val="15"/>
  </w:num>
  <w:num w:numId="11">
    <w:abstractNumId w:val="7"/>
  </w:num>
  <w:num w:numId="12">
    <w:abstractNumId w:val="10"/>
  </w:num>
  <w:num w:numId="13">
    <w:abstractNumId w:val="6"/>
  </w:num>
  <w:num w:numId="14">
    <w:abstractNumId w:val="8"/>
  </w:num>
  <w:num w:numId="15">
    <w:abstractNumId w:val="4"/>
  </w:num>
  <w:num w:numId="16">
    <w:abstractNumId w:val="2"/>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215C5"/>
    <w:rsid w:val="00235F25"/>
    <w:rsid w:val="00255E6B"/>
    <w:rsid w:val="002728E8"/>
    <w:rsid w:val="00287CDA"/>
    <w:rsid w:val="002967B0"/>
    <w:rsid w:val="002C42CD"/>
    <w:rsid w:val="002D1BA6"/>
    <w:rsid w:val="002E3C1B"/>
    <w:rsid w:val="002E55AA"/>
    <w:rsid w:val="00315439"/>
    <w:rsid w:val="00364762"/>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6B30"/>
    <w:rsid w:val="004D7F83"/>
    <w:rsid w:val="004E0819"/>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5805"/>
    <w:rsid w:val="00627D2F"/>
    <w:rsid w:val="0065155B"/>
    <w:rsid w:val="0065190D"/>
    <w:rsid w:val="00670E49"/>
    <w:rsid w:val="00685BC9"/>
    <w:rsid w:val="006A57B0"/>
    <w:rsid w:val="006C1F70"/>
    <w:rsid w:val="006C5ADF"/>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F8A"/>
    <w:rsid w:val="007F6181"/>
    <w:rsid w:val="00837AFB"/>
    <w:rsid w:val="00846D64"/>
    <w:rsid w:val="008543C7"/>
    <w:rsid w:val="00867273"/>
    <w:rsid w:val="00867B5D"/>
    <w:rsid w:val="008704D7"/>
    <w:rsid w:val="008770BE"/>
    <w:rsid w:val="00882370"/>
    <w:rsid w:val="00884A1A"/>
    <w:rsid w:val="00895B83"/>
    <w:rsid w:val="008971BF"/>
    <w:rsid w:val="008C0693"/>
    <w:rsid w:val="008E3502"/>
    <w:rsid w:val="00947691"/>
    <w:rsid w:val="00957392"/>
    <w:rsid w:val="00964DFE"/>
    <w:rsid w:val="00974E4B"/>
    <w:rsid w:val="009805D3"/>
    <w:rsid w:val="0098710C"/>
    <w:rsid w:val="00996CA8"/>
    <w:rsid w:val="009B0A15"/>
    <w:rsid w:val="009E3211"/>
    <w:rsid w:val="009E4B98"/>
    <w:rsid w:val="009E6E14"/>
    <w:rsid w:val="009F4B7F"/>
    <w:rsid w:val="00A13FD8"/>
    <w:rsid w:val="00A17934"/>
    <w:rsid w:val="00A23520"/>
    <w:rsid w:val="00A2482D"/>
    <w:rsid w:val="00A24ABB"/>
    <w:rsid w:val="00A26CE6"/>
    <w:rsid w:val="00A31FBA"/>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2110B"/>
    <w:rsid w:val="00B465B1"/>
    <w:rsid w:val="00B530F3"/>
    <w:rsid w:val="00B66546"/>
    <w:rsid w:val="00B74147"/>
    <w:rsid w:val="00B86C6A"/>
    <w:rsid w:val="00B91B5F"/>
    <w:rsid w:val="00B91D5E"/>
    <w:rsid w:val="00B95DCD"/>
    <w:rsid w:val="00B978E0"/>
    <w:rsid w:val="00BA09E7"/>
    <w:rsid w:val="00BB67AA"/>
    <w:rsid w:val="00BC4A81"/>
    <w:rsid w:val="00BD6E00"/>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978E1"/>
    <w:rsid w:val="00EA2024"/>
    <w:rsid w:val="00EA565D"/>
    <w:rsid w:val="00ED6CC1"/>
    <w:rsid w:val="00F03477"/>
    <w:rsid w:val="00F12AE6"/>
    <w:rsid w:val="00F12B79"/>
    <w:rsid w:val="00F13207"/>
    <w:rsid w:val="00F57D07"/>
    <w:rsid w:val="00F77988"/>
    <w:rsid w:val="00F9586F"/>
    <w:rsid w:val="00F97A40"/>
    <w:rsid w:val="00FA19C2"/>
    <w:rsid w:val="00FA1EDA"/>
    <w:rsid w:val="00FA2BC6"/>
    <w:rsid w:val="00FB1802"/>
    <w:rsid w:val="00FB780F"/>
    <w:rsid w:val="00FC6F8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E978E1"/>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E978E1"/>
    <w:pPr>
      <w:numPr>
        <w:ilvl w:val="1"/>
      </w:numPr>
      <w:tabs>
        <w:tab w:val="left" w:pos="480"/>
      </w:tabs>
      <w:spacing w:after="40"/>
    </w:p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E978E1"/>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styleId="DocumentMap">
    <w:name w:val="Document Map"/>
    <w:basedOn w:val="Normal"/>
    <w:link w:val="DocumentMapChar"/>
    <w:uiPriority w:val="99"/>
    <w:semiHidden/>
    <w:unhideWhenUsed/>
    <w:rsid w:val="00625805"/>
    <w:pPr>
      <w:pBdr>
        <w:top w:val="nil"/>
        <w:left w:val="nil"/>
        <w:bottom w:val="nil"/>
        <w:right w:val="nil"/>
        <w:between w:val="nil"/>
      </w:pBdr>
    </w:pPr>
    <w:rPr>
      <w:rFonts w:eastAsia="Calibri"/>
      <w:color w:val="000000"/>
      <w:lang w:val="en-CA"/>
    </w:rPr>
  </w:style>
  <w:style w:type="character" w:customStyle="1" w:styleId="DocumentMapChar">
    <w:name w:val="Document Map Char"/>
    <w:basedOn w:val="DefaultParagraphFont"/>
    <w:link w:val="DocumentMap"/>
    <w:uiPriority w:val="99"/>
    <w:semiHidden/>
    <w:rsid w:val="00625805"/>
    <w:rPr>
      <w:rFonts w:eastAsia="Calibri"/>
      <w:color w:val="000000"/>
      <w:sz w:val="24"/>
      <w:szCs w:val="24"/>
      <w:lang w:val="en-CA"/>
    </w:rPr>
  </w:style>
  <w:style w:type="paragraph" w:customStyle="1" w:styleId="Normal1">
    <w:name w:val="Normal1"/>
    <w:rsid w:val="00B66546"/>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BD25-AEC5-A14B-A964-35C3441E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421</Words>
  <Characters>2636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3051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Education</dc:creator>
  <cp:lastModifiedBy>Christa Toews</cp:lastModifiedBy>
  <cp:revision>131</cp:revision>
  <cp:lastPrinted>2018-03-27T20:52:00Z</cp:lastPrinted>
  <dcterms:created xsi:type="dcterms:W3CDTF">2017-01-16T16:55:00Z</dcterms:created>
  <dcterms:modified xsi:type="dcterms:W3CDTF">2018-05-14T21:05:00Z</dcterms:modified>
</cp:coreProperties>
</file>