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226963F" w:rsidR="0014420D" w:rsidRPr="00C40C1D" w:rsidRDefault="0014420D" w:rsidP="00B206D3">
      <w:pPr>
        <w:pBdr>
          <w:bottom w:val="single" w:sz="4" w:space="4" w:color="auto"/>
        </w:pBdr>
        <w:tabs>
          <w:tab w:val="right" w:pos="14232"/>
        </w:tabs>
        <w:ind w:left="1368" w:right="-112"/>
        <w:rPr>
          <w:b/>
          <w:sz w:val="28"/>
          <w:lang w:val="fr-CA"/>
        </w:rPr>
      </w:pPr>
      <w:r w:rsidRPr="00C40C1D">
        <w:rPr>
          <w:noProof/>
          <w:szCs w:val="20"/>
        </w:rPr>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C40C1D">
        <w:rPr>
          <w:b/>
          <w:sz w:val="28"/>
          <w:lang w:val="fr-CA"/>
        </w:rPr>
        <w:t xml:space="preserve">Domaine d’apprentissage </w:t>
      </w:r>
      <w:r w:rsidRPr="00C40C1D">
        <w:rPr>
          <w:b/>
          <w:sz w:val="28"/>
          <w:lang w:val="fr-CA"/>
        </w:rPr>
        <w:t xml:space="preserve">: </w:t>
      </w:r>
      <w:r w:rsidR="00D96986" w:rsidRPr="00C40C1D">
        <w:rPr>
          <w:b/>
          <w:sz w:val="28"/>
          <w:lang w:val="fr-CA"/>
        </w:rPr>
        <w:t>SCIENCE</w:t>
      </w:r>
      <w:r w:rsidR="00E11BAF" w:rsidRPr="00C40C1D">
        <w:rPr>
          <w:b/>
          <w:sz w:val="28"/>
          <w:lang w:val="fr-CA"/>
        </w:rPr>
        <w:t>S</w:t>
      </w:r>
      <w:r w:rsidR="00D96986" w:rsidRPr="00C40C1D">
        <w:rPr>
          <w:b/>
          <w:sz w:val="28"/>
          <w:lang w:val="fr-CA"/>
        </w:rPr>
        <w:t xml:space="preserve"> — </w:t>
      </w:r>
      <w:r w:rsidR="00E11BAF" w:rsidRPr="00C40C1D">
        <w:rPr>
          <w:b/>
          <w:sz w:val="28"/>
          <w:lang w:val="fr-CA"/>
        </w:rPr>
        <w:t>Programme provincial de base de la 10</w:t>
      </w:r>
      <w:r w:rsidR="00E11BAF" w:rsidRPr="00C40C1D">
        <w:rPr>
          <w:rFonts w:ascii="Times New Roman Bold" w:hAnsi="Times New Roman Bold"/>
          <w:b/>
          <w:position w:val="6"/>
          <w:sz w:val="22"/>
          <w:lang w:val="fr-CA"/>
        </w:rPr>
        <w:t>e</w:t>
      </w:r>
      <w:r w:rsidR="00E11BAF" w:rsidRPr="00C40C1D">
        <w:rPr>
          <w:b/>
          <w:sz w:val="28"/>
          <w:lang w:val="fr-CA"/>
        </w:rPr>
        <w:t xml:space="preserve"> année</w:t>
      </w:r>
      <w:r w:rsidRPr="00C40C1D">
        <w:rPr>
          <w:b/>
          <w:sz w:val="28"/>
          <w:lang w:val="fr-CA"/>
        </w:rPr>
        <w:tab/>
      </w:r>
    </w:p>
    <w:p w14:paraId="2E070600" w14:textId="77777777" w:rsidR="0014420D" w:rsidRPr="00C40C1D" w:rsidRDefault="0014420D" w:rsidP="00B206D3">
      <w:pPr>
        <w:tabs>
          <w:tab w:val="right" w:pos="14232"/>
        </w:tabs>
        <w:spacing w:before="60"/>
        <w:rPr>
          <w:b/>
          <w:sz w:val="28"/>
          <w:lang w:val="fr-CA"/>
        </w:rPr>
      </w:pPr>
      <w:r w:rsidRPr="00C40C1D">
        <w:rPr>
          <w:b/>
          <w:sz w:val="28"/>
          <w:lang w:val="fr-CA"/>
        </w:rPr>
        <w:tab/>
      </w:r>
    </w:p>
    <w:p w14:paraId="1F219315" w14:textId="51662234" w:rsidR="00670E49" w:rsidRPr="00C40C1D" w:rsidRDefault="00E11BAF" w:rsidP="00B206D3">
      <w:pPr>
        <w:spacing w:after="80"/>
        <w:jc w:val="center"/>
        <w:outlineLvl w:val="0"/>
        <w:rPr>
          <w:rFonts w:ascii="Helvetica" w:hAnsi="Helvetica" w:cs="Arial"/>
          <w:b/>
          <w:bCs/>
          <w:color w:val="000000" w:themeColor="text1"/>
          <w:lang w:val="fr-CA"/>
        </w:rPr>
      </w:pPr>
      <w:r w:rsidRPr="00C40C1D">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33"/>
        <w:gridCol w:w="236"/>
        <w:gridCol w:w="4198"/>
        <w:gridCol w:w="236"/>
        <w:gridCol w:w="4339"/>
        <w:gridCol w:w="236"/>
        <w:gridCol w:w="2349"/>
      </w:tblGrid>
      <w:tr w:rsidR="00C21F16" w:rsidRPr="00C21F16" w14:paraId="292FF7E5" w14:textId="77777777" w:rsidTr="00C21F16">
        <w:trPr>
          <w:jc w:val="center"/>
        </w:trPr>
        <w:tc>
          <w:tcPr>
            <w:tcW w:w="2033" w:type="dxa"/>
            <w:tcBorders>
              <w:top w:val="single" w:sz="2" w:space="0" w:color="auto"/>
              <w:left w:val="single" w:sz="2" w:space="0" w:color="auto"/>
              <w:bottom w:val="single" w:sz="2" w:space="0" w:color="auto"/>
              <w:right w:val="single" w:sz="2" w:space="0" w:color="auto"/>
            </w:tcBorders>
            <w:shd w:val="clear" w:color="auto" w:fill="FEECBC"/>
          </w:tcPr>
          <w:p w14:paraId="66145D66" w14:textId="4EE1F804" w:rsidR="004C42F8" w:rsidRPr="00C21F16" w:rsidRDefault="00E11BAF" w:rsidP="00E11BAF">
            <w:pPr>
              <w:pStyle w:val="Tablestyle1"/>
              <w:spacing w:line="240" w:lineRule="atLeast"/>
              <w:rPr>
                <w:rFonts w:ascii="Helvetica" w:hAnsi="Helvetica" w:cs="Arial"/>
                <w:color w:val="000000" w:themeColor="text1"/>
                <w:sz w:val="19"/>
                <w:szCs w:val="19"/>
                <w:lang w:val="fr-CA"/>
              </w:rPr>
            </w:pPr>
            <w:r w:rsidRPr="00C21F16">
              <w:rPr>
                <w:rStyle w:val="CharAttribute13"/>
                <w:rFonts w:ascii="Helvetica" w:eastAsia="Batang" w:hAnsi="Helvetica" w:cs="Arial"/>
                <w:color w:val="000000" w:themeColor="text1"/>
                <w:sz w:val="19"/>
                <w:szCs w:val="19"/>
                <w:lang w:val="fr-CA"/>
              </w:rPr>
              <w:t>L’</w:t>
            </w:r>
            <w:r w:rsidR="00821DEC" w:rsidRPr="00C21F16">
              <w:rPr>
                <w:rStyle w:val="CharAttribute13"/>
                <w:rFonts w:ascii="Helvetica" w:eastAsia="Batang" w:hAnsi="Helvetica" w:cs="Arial"/>
                <w:b/>
                <w:color w:val="000000" w:themeColor="text1"/>
                <w:sz w:val="19"/>
                <w:szCs w:val="19"/>
                <w:lang w:val="fr-CA"/>
              </w:rPr>
              <w:t xml:space="preserve">ADN </w:t>
            </w:r>
            <w:r w:rsidR="00821DEC" w:rsidRPr="00C21F16">
              <w:rPr>
                <w:rStyle w:val="CharAttribute13"/>
                <w:rFonts w:ascii="Helvetica" w:eastAsia="Batang" w:hAnsi="Helvetica" w:cs="Arial"/>
                <w:color w:val="000000" w:themeColor="text1"/>
                <w:sz w:val="19"/>
                <w:szCs w:val="19"/>
                <w:lang w:val="fr-CA"/>
              </w:rPr>
              <w:t>est à l’origine de la diversité des êtres vivants.</w:t>
            </w:r>
          </w:p>
        </w:tc>
        <w:tc>
          <w:tcPr>
            <w:tcW w:w="236" w:type="dxa"/>
            <w:tcBorders>
              <w:top w:val="nil"/>
              <w:left w:val="single" w:sz="2" w:space="0" w:color="auto"/>
              <w:bottom w:val="nil"/>
              <w:right w:val="single" w:sz="2" w:space="0" w:color="auto"/>
            </w:tcBorders>
            <w:shd w:val="clear" w:color="auto" w:fill="auto"/>
          </w:tcPr>
          <w:p w14:paraId="36500AEA" w14:textId="77777777" w:rsidR="004C42F8" w:rsidRPr="00C21F16" w:rsidRDefault="004C42F8" w:rsidP="00B206D3">
            <w:pPr>
              <w:spacing w:before="120" w:after="120"/>
              <w:jc w:val="center"/>
              <w:rPr>
                <w:rFonts w:cs="Arial"/>
                <w:color w:val="000000" w:themeColor="text1"/>
                <w:sz w:val="19"/>
                <w:szCs w:val="19"/>
                <w:lang w:val="fr-CA"/>
              </w:rPr>
            </w:pPr>
          </w:p>
        </w:tc>
        <w:tc>
          <w:tcPr>
            <w:tcW w:w="4198" w:type="dxa"/>
            <w:tcBorders>
              <w:top w:val="single" w:sz="2" w:space="0" w:color="auto"/>
              <w:left w:val="single" w:sz="2" w:space="0" w:color="auto"/>
              <w:bottom w:val="single" w:sz="2" w:space="0" w:color="auto"/>
              <w:right w:val="single" w:sz="2" w:space="0" w:color="auto"/>
            </w:tcBorders>
            <w:shd w:val="clear" w:color="auto" w:fill="FEECBC"/>
          </w:tcPr>
          <w:p w14:paraId="37BF8C53" w14:textId="1C51D91A" w:rsidR="004C42F8" w:rsidRPr="00C21F16" w:rsidRDefault="00821DEC" w:rsidP="00E11BAF">
            <w:pPr>
              <w:pStyle w:val="Tablestyle1"/>
              <w:spacing w:line="240" w:lineRule="atLeast"/>
              <w:rPr>
                <w:rFonts w:cs="Arial"/>
                <w:color w:val="000000" w:themeColor="text1"/>
                <w:sz w:val="19"/>
                <w:szCs w:val="19"/>
                <w:lang w:val="fr-CA"/>
              </w:rPr>
            </w:pPr>
            <w:r w:rsidRPr="00C21F16">
              <w:rPr>
                <w:rFonts w:ascii="Helvetica" w:hAnsi="Helvetica" w:cs="Calibri"/>
                <w:color w:val="000000" w:themeColor="text1"/>
                <w:sz w:val="19"/>
                <w:szCs w:val="19"/>
                <w:lang w:val="fr-CA"/>
              </w:rPr>
              <w:t xml:space="preserve">Les </w:t>
            </w:r>
            <w:r w:rsidRPr="00C21F16">
              <w:rPr>
                <w:rFonts w:ascii="Helvetica" w:hAnsi="Helvetica" w:cs="Calibri"/>
                <w:b/>
                <w:color w:val="000000" w:themeColor="text1"/>
                <w:sz w:val="19"/>
                <w:szCs w:val="19"/>
                <w:lang w:val="fr-CA"/>
              </w:rPr>
              <w:t xml:space="preserve">processus chimiques </w:t>
            </w:r>
            <w:r w:rsidRPr="00C21F16">
              <w:rPr>
                <w:rStyle w:val="CharAttribute2"/>
                <w:rFonts w:ascii="Helvetica" w:eastAsia="Batang" w:hAnsi="Helvetica"/>
                <w:color w:val="000000" w:themeColor="text1"/>
                <w:sz w:val="19"/>
                <w:szCs w:val="19"/>
                <w:lang w:val="fr-CA"/>
              </w:rPr>
              <w:t>de réarrangement des atomes nécessitent des échanges d’énergie avec le milieu environnant.</w:t>
            </w:r>
          </w:p>
        </w:tc>
        <w:tc>
          <w:tcPr>
            <w:tcW w:w="236" w:type="dxa"/>
            <w:tcBorders>
              <w:top w:val="nil"/>
              <w:left w:val="single" w:sz="2" w:space="0" w:color="auto"/>
              <w:bottom w:val="nil"/>
              <w:right w:val="single" w:sz="2" w:space="0" w:color="auto"/>
            </w:tcBorders>
          </w:tcPr>
          <w:p w14:paraId="4A771369" w14:textId="77777777" w:rsidR="004C42F8" w:rsidRPr="00C21F16" w:rsidRDefault="004C42F8" w:rsidP="00B206D3">
            <w:pPr>
              <w:spacing w:before="120" w:after="120"/>
              <w:jc w:val="center"/>
              <w:rPr>
                <w:rFonts w:cs="Arial"/>
                <w:color w:val="000000" w:themeColor="text1"/>
                <w:sz w:val="19"/>
                <w:szCs w:val="19"/>
                <w:lang w:val="fr-CA"/>
              </w:rPr>
            </w:pPr>
          </w:p>
        </w:tc>
        <w:tc>
          <w:tcPr>
            <w:tcW w:w="4339" w:type="dxa"/>
            <w:tcBorders>
              <w:top w:val="single" w:sz="2" w:space="0" w:color="auto"/>
              <w:left w:val="single" w:sz="2" w:space="0" w:color="auto"/>
              <w:bottom w:val="single" w:sz="2" w:space="0" w:color="auto"/>
              <w:right w:val="single" w:sz="2" w:space="0" w:color="auto"/>
            </w:tcBorders>
            <w:shd w:val="clear" w:color="auto" w:fill="FEECBC"/>
          </w:tcPr>
          <w:p w14:paraId="55307304" w14:textId="61F5E7D0" w:rsidR="004C42F8" w:rsidRPr="00C21F16" w:rsidRDefault="00821DEC" w:rsidP="00E11BAF">
            <w:pPr>
              <w:pStyle w:val="Tablestyle1"/>
              <w:spacing w:line="240" w:lineRule="atLeast"/>
              <w:rPr>
                <w:rFonts w:cs="Arial"/>
                <w:color w:val="000000" w:themeColor="text1"/>
                <w:sz w:val="19"/>
                <w:szCs w:val="19"/>
                <w:lang w:val="fr-CA"/>
              </w:rPr>
            </w:pPr>
            <w:r w:rsidRPr="00C21F16">
              <w:rPr>
                <w:rFonts w:ascii="Helvetica" w:hAnsi="Helvetica" w:cs="Calibri"/>
                <w:color w:val="000000" w:themeColor="text1"/>
                <w:sz w:val="19"/>
                <w:szCs w:val="19"/>
                <w:lang w:val="fr-CA"/>
              </w:rPr>
              <w:t>L’</w:t>
            </w:r>
            <w:r w:rsidRPr="00C21F16">
              <w:rPr>
                <w:rFonts w:ascii="Helvetica" w:hAnsi="Helvetica" w:cs="Calibri"/>
                <w:b/>
                <w:color w:val="000000" w:themeColor="text1"/>
                <w:sz w:val="19"/>
                <w:szCs w:val="19"/>
                <w:lang w:val="fr-CA"/>
              </w:rPr>
              <w:t>énergie</w:t>
            </w:r>
            <w:r w:rsidRPr="00C21F16">
              <w:rPr>
                <w:rFonts w:ascii="Helvetica" w:hAnsi="Helvetica" w:cs="Calibri"/>
                <w:color w:val="000000" w:themeColor="text1"/>
                <w:sz w:val="19"/>
                <w:szCs w:val="19"/>
                <w:lang w:val="fr-CA"/>
              </w:rPr>
              <w:t xml:space="preserve"> est conservée, et ses transformations peuvent avoir des répercussions sur les êtres vivants et l’environnement.</w:t>
            </w:r>
          </w:p>
        </w:tc>
        <w:tc>
          <w:tcPr>
            <w:tcW w:w="236" w:type="dxa"/>
            <w:tcBorders>
              <w:top w:val="nil"/>
              <w:left w:val="single" w:sz="2" w:space="0" w:color="auto"/>
              <w:bottom w:val="nil"/>
              <w:right w:val="single" w:sz="2" w:space="0" w:color="auto"/>
            </w:tcBorders>
            <w:shd w:val="clear" w:color="auto" w:fill="auto"/>
          </w:tcPr>
          <w:p w14:paraId="3EB9526B" w14:textId="77777777" w:rsidR="004C42F8" w:rsidRPr="00C21F16" w:rsidRDefault="004C42F8" w:rsidP="00B206D3">
            <w:pPr>
              <w:spacing w:before="120" w:after="120"/>
              <w:jc w:val="center"/>
              <w:rPr>
                <w:rFonts w:cs="Arial"/>
                <w:color w:val="000000" w:themeColor="text1"/>
                <w:sz w:val="19"/>
                <w:szCs w:val="19"/>
                <w:lang w:val="fr-CA"/>
              </w:rPr>
            </w:pPr>
          </w:p>
        </w:tc>
        <w:tc>
          <w:tcPr>
            <w:tcW w:w="2349" w:type="dxa"/>
            <w:tcBorders>
              <w:top w:val="single" w:sz="2" w:space="0" w:color="auto"/>
              <w:left w:val="single" w:sz="2" w:space="0" w:color="auto"/>
              <w:bottom w:val="single" w:sz="2" w:space="0" w:color="auto"/>
              <w:right w:val="single" w:sz="2" w:space="0" w:color="auto"/>
            </w:tcBorders>
            <w:shd w:val="clear" w:color="auto" w:fill="FEECBC"/>
          </w:tcPr>
          <w:p w14:paraId="669BB746" w14:textId="0CD4B78D" w:rsidR="004C42F8" w:rsidRPr="00C21F16" w:rsidRDefault="00821DEC" w:rsidP="00E11BAF">
            <w:pPr>
              <w:pStyle w:val="Tablestyle1"/>
              <w:spacing w:line="240" w:lineRule="atLeast"/>
              <w:rPr>
                <w:rFonts w:ascii="Helvetica" w:hAnsi="Helvetica" w:cs="Arial"/>
                <w:color w:val="000000" w:themeColor="text1"/>
                <w:sz w:val="19"/>
                <w:szCs w:val="19"/>
                <w:lang w:val="fr-CA"/>
              </w:rPr>
            </w:pPr>
            <w:r w:rsidRPr="00C21F16">
              <w:rPr>
                <w:rStyle w:val="CharAttribute5"/>
                <w:rFonts w:ascii="Helvetica" w:eastAsia="Batang" w:hAnsi="Helvetica" w:cstheme="minorHAnsi"/>
                <w:color w:val="000000" w:themeColor="text1"/>
                <w:sz w:val="19"/>
                <w:szCs w:val="19"/>
                <w:lang w:val="fr-CA"/>
              </w:rPr>
              <w:t>La théorie du big bang permet d’expliquer la formation de l’</w:t>
            </w:r>
            <w:r w:rsidRPr="00C21F16">
              <w:rPr>
                <w:rStyle w:val="CharAttribute5"/>
                <w:rFonts w:ascii="Helvetica" w:eastAsia="Batang" w:hAnsi="Helvetica" w:cstheme="minorHAnsi"/>
                <w:b/>
                <w:color w:val="000000" w:themeColor="text1"/>
                <w:sz w:val="19"/>
                <w:szCs w:val="19"/>
                <w:lang w:val="fr-CA"/>
              </w:rPr>
              <w:t>Univers</w:t>
            </w:r>
            <w:r w:rsidRPr="00C21F16">
              <w:rPr>
                <w:rStyle w:val="CharAttribute5"/>
                <w:rFonts w:ascii="Helvetica" w:eastAsia="Batang" w:hAnsi="Helvetica" w:cstheme="minorHAnsi"/>
                <w:color w:val="000000" w:themeColor="text1"/>
                <w:sz w:val="19"/>
                <w:szCs w:val="19"/>
                <w:lang w:val="fr-CA"/>
              </w:rPr>
              <w:t>.</w:t>
            </w:r>
          </w:p>
        </w:tc>
      </w:tr>
    </w:tbl>
    <w:p w14:paraId="2F2BAA8A" w14:textId="1FC33B70" w:rsidR="00E11BAF" w:rsidRPr="00C40C1D" w:rsidRDefault="00E11BAF" w:rsidP="00D96986">
      <w:pPr>
        <w:spacing w:before="120" w:after="160"/>
        <w:jc w:val="center"/>
        <w:outlineLvl w:val="0"/>
        <w:rPr>
          <w:b/>
          <w:sz w:val="28"/>
          <w:szCs w:val="22"/>
          <w:lang w:val="fr-CA"/>
        </w:rPr>
      </w:pPr>
      <w:r w:rsidRPr="00C40C1D">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2"/>
        <w:gridCol w:w="5922"/>
      </w:tblGrid>
      <w:tr w:rsidR="00821DEC" w:rsidRPr="00C40C1D" w14:paraId="7C49560F" w14:textId="77777777" w:rsidTr="00821DEC">
        <w:tc>
          <w:tcPr>
            <w:tcW w:w="290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C40C1D" w:rsidRDefault="00E11BAF" w:rsidP="00B206D3">
            <w:pPr>
              <w:spacing w:before="60" w:after="60"/>
              <w:rPr>
                <w:b/>
                <w:szCs w:val="22"/>
                <w:lang w:val="fr-CA"/>
              </w:rPr>
            </w:pPr>
            <w:r w:rsidRPr="00C40C1D">
              <w:rPr>
                <w:b/>
                <w:szCs w:val="22"/>
                <w:lang w:val="fr-CA"/>
              </w:rPr>
              <w:t>Compétences disciplinaires</w:t>
            </w:r>
          </w:p>
        </w:tc>
        <w:tc>
          <w:tcPr>
            <w:tcW w:w="209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C40C1D" w:rsidRDefault="0059376F" w:rsidP="00E11BAF">
            <w:pPr>
              <w:spacing w:before="60" w:after="60"/>
              <w:rPr>
                <w:b/>
                <w:szCs w:val="22"/>
                <w:lang w:val="fr-CA"/>
              </w:rPr>
            </w:pPr>
            <w:r w:rsidRPr="00C40C1D">
              <w:rPr>
                <w:b/>
                <w:color w:val="FFFFFF" w:themeColor="background1"/>
                <w:szCs w:val="22"/>
                <w:lang w:val="fr-CA"/>
              </w:rPr>
              <w:t>Conten</w:t>
            </w:r>
            <w:r w:rsidR="00E11BAF" w:rsidRPr="00C40C1D">
              <w:rPr>
                <w:b/>
                <w:color w:val="FFFFFF" w:themeColor="background1"/>
                <w:szCs w:val="22"/>
                <w:lang w:val="fr-CA"/>
              </w:rPr>
              <w:t>u</w:t>
            </w:r>
          </w:p>
        </w:tc>
      </w:tr>
      <w:tr w:rsidR="00821DEC" w:rsidRPr="00821DEC" w14:paraId="5149B766" w14:textId="77777777" w:rsidTr="00821DEC">
        <w:trPr>
          <w:trHeight w:val="484"/>
        </w:trPr>
        <w:tc>
          <w:tcPr>
            <w:tcW w:w="2902" w:type="pct"/>
            <w:tcBorders>
              <w:top w:val="single" w:sz="2" w:space="0" w:color="auto"/>
              <w:left w:val="single" w:sz="2" w:space="0" w:color="auto"/>
              <w:bottom w:val="single" w:sz="2" w:space="0" w:color="auto"/>
              <w:right w:val="single" w:sz="2" w:space="0" w:color="auto"/>
            </w:tcBorders>
            <w:shd w:val="clear" w:color="auto" w:fill="auto"/>
          </w:tcPr>
          <w:p w14:paraId="247768C0" w14:textId="258AAB07" w:rsidR="00F9586F" w:rsidRPr="00821DEC" w:rsidRDefault="00E11BAF" w:rsidP="00B206D3">
            <w:pPr>
              <w:spacing w:before="120" w:after="120"/>
              <w:rPr>
                <w:rFonts w:ascii="Helvetica Oblique" w:hAnsi="Helvetica Oblique"/>
                <w:i/>
                <w:iCs/>
                <w:sz w:val="20"/>
                <w:lang w:val="fr-CA"/>
              </w:rPr>
            </w:pPr>
            <w:r w:rsidRPr="00821DEC">
              <w:rPr>
                <w:rFonts w:ascii="Helvetica" w:hAnsi="Helvetica"/>
                <w:i/>
                <w:sz w:val="20"/>
                <w:szCs w:val="20"/>
                <w:lang w:val="fr-CA"/>
              </w:rPr>
              <w:t>L’élève sera capable de :</w:t>
            </w:r>
          </w:p>
          <w:p w14:paraId="7FA4EEDD" w14:textId="59429CB9" w:rsidR="00670E49" w:rsidRPr="00821DEC" w:rsidRDefault="00E11BAF" w:rsidP="00B206D3">
            <w:pPr>
              <w:pStyle w:val="Topic"/>
              <w:contextualSpacing w:val="0"/>
              <w:rPr>
                <w:lang w:val="fr-CA"/>
              </w:rPr>
            </w:pPr>
            <w:r w:rsidRPr="00821DEC">
              <w:rPr>
                <w:rFonts w:cs="Arial"/>
                <w:color w:val="000000" w:themeColor="text1"/>
                <w:szCs w:val="20"/>
                <w:lang w:val="fr-CA"/>
              </w:rPr>
              <w:t>Poser des questions et faire des prédictions</w:t>
            </w:r>
          </w:p>
          <w:p w14:paraId="156B0CED" w14:textId="1E7A0066" w:rsidR="00821DEC" w:rsidRPr="00821DEC" w:rsidRDefault="00821DEC" w:rsidP="00821DEC">
            <w:pPr>
              <w:pStyle w:val="ListParagraph"/>
              <w:rPr>
                <w:lang w:val="fr-CA"/>
              </w:rPr>
            </w:pPr>
            <w:r w:rsidRPr="00821DEC">
              <w:rPr>
                <w:lang w:val="fr-CA"/>
              </w:rPr>
              <w:t xml:space="preserve">Faire preuve d’une curiosité intellectuelle soutenue sur un sujet scientifique </w:t>
            </w:r>
            <w:r w:rsidR="001A27CA">
              <w:rPr>
                <w:lang w:val="fr-CA"/>
              </w:rPr>
              <w:br/>
            </w:r>
            <w:r w:rsidRPr="00821DEC">
              <w:rPr>
                <w:lang w:val="fr-CA"/>
              </w:rPr>
              <w:t xml:space="preserve">ou un problème qui revêt un intérêt personnel </w:t>
            </w:r>
          </w:p>
          <w:p w14:paraId="46DB9E4A" w14:textId="496E169B" w:rsidR="00821DEC" w:rsidRPr="00821DEC" w:rsidRDefault="00821DEC" w:rsidP="00821DEC">
            <w:pPr>
              <w:pStyle w:val="ListParagraph"/>
              <w:rPr>
                <w:lang w:val="fr-CA"/>
              </w:rPr>
            </w:pPr>
            <w:r w:rsidRPr="00821DEC">
              <w:rPr>
                <w:lang w:val="fr-CA"/>
              </w:rPr>
              <w:t xml:space="preserve">Faire des observations dans le but de formuler ses propres questions, </w:t>
            </w:r>
            <w:r w:rsidR="001A27CA">
              <w:rPr>
                <w:lang w:val="fr-CA"/>
              </w:rPr>
              <w:br/>
            </w:r>
            <w:r w:rsidRPr="00821DEC">
              <w:rPr>
                <w:lang w:val="fr-CA"/>
              </w:rPr>
              <w:t>d’un niveau d’abstraction croissant, sur des phénomènes naturels</w:t>
            </w:r>
          </w:p>
          <w:p w14:paraId="106705A7" w14:textId="72544D94" w:rsidR="00F9586F" w:rsidRPr="00821DEC" w:rsidRDefault="00821DEC" w:rsidP="00821DEC">
            <w:pPr>
              <w:pStyle w:val="ListParagraph"/>
              <w:rPr>
                <w:lang w:val="fr-CA"/>
              </w:rPr>
            </w:pPr>
            <w:r w:rsidRPr="00821DEC">
              <w:rPr>
                <w:lang w:val="fr-CA"/>
              </w:rPr>
              <w:t>Formuler de multiples hypothèses et prédire de multiples résultats</w:t>
            </w:r>
          </w:p>
          <w:p w14:paraId="5B509B2D" w14:textId="0DA9459E" w:rsidR="00670E49" w:rsidRPr="00821DEC" w:rsidRDefault="00E11BAF" w:rsidP="00B206D3">
            <w:pPr>
              <w:pStyle w:val="Topic"/>
              <w:contextualSpacing w:val="0"/>
              <w:rPr>
                <w:lang w:val="fr-CA"/>
              </w:rPr>
            </w:pPr>
            <w:r w:rsidRPr="00821DEC">
              <w:rPr>
                <w:rFonts w:cs="Arial"/>
                <w:color w:val="000000" w:themeColor="text1"/>
                <w:szCs w:val="20"/>
                <w:lang w:val="fr-CA"/>
              </w:rPr>
              <w:t>Planifier et exécuter</w:t>
            </w:r>
          </w:p>
          <w:p w14:paraId="755E5DA7" w14:textId="77777777" w:rsidR="00821DEC" w:rsidRPr="00821DEC" w:rsidRDefault="00821DEC" w:rsidP="00821DEC">
            <w:pPr>
              <w:pStyle w:val="ListParagraph"/>
              <w:rPr>
                <w:lang w:val="fr-CA"/>
              </w:rPr>
            </w:pPr>
            <w:r w:rsidRPr="00821DEC">
              <w:rPr>
                <w:lang w:val="fr-CA"/>
              </w:rPr>
              <w:t>Planifier, sélectionner et utiliser, en collaboration et individuellement, des méthodes de recherche appropriées, y compris des travaux sur le terrain et des expériences en laboratoire, afin de recueillir des données fiables (qualitatives et quantitatives)</w:t>
            </w:r>
          </w:p>
          <w:p w14:paraId="403BBF3D" w14:textId="77777777" w:rsidR="00821DEC" w:rsidRPr="00821DEC" w:rsidRDefault="00821DEC" w:rsidP="00821DEC">
            <w:pPr>
              <w:pStyle w:val="ListParagraph"/>
              <w:rPr>
                <w:lang w:val="fr-CA"/>
              </w:rPr>
            </w:pPr>
            <w:r w:rsidRPr="00821DEC">
              <w:rPr>
                <w:lang w:val="fr-CA"/>
              </w:rPr>
              <w:t>Évaluer les risques et aborder les questions éthiques, culturelles et environnementales liées à ses propres méthodes et à celles des autres</w:t>
            </w:r>
          </w:p>
          <w:p w14:paraId="4F244C78" w14:textId="2C9B096A" w:rsidR="00821DEC" w:rsidRPr="00821DEC" w:rsidRDefault="00821DEC" w:rsidP="00821DEC">
            <w:pPr>
              <w:pStyle w:val="ListParagraph"/>
              <w:rPr>
                <w:lang w:val="fr-CA"/>
              </w:rPr>
            </w:pPr>
            <w:r w:rsidRPr="00821DEC">
              <w:rPr>
                <w:lang w:val="fr-CA"/>
              </w:rPr>
              <w:t xml:space="preserve">Sélectionner et utiliser de l’équipement approprié, y compris des technologies numériques, pour recueillir et consigner des données de façon systématique </w:t>
            </w:r>
            <w:r w:rsidR="00EA464E">
              <w:rPr>
                <w:lang w:val="fr-CA"/>
              </w:rPr>
              <w:br/>
            </w:r>
            <w:r w:rsidRPr="00821DEC">
              <w:rPr>
                <w:lang w:val="fr-CA"/>
              </w:rPr>
              <w:t xml:space="preserve">et précise </w:t>
            </w:r>
          </w:p>
          <w:p w14:paraId="03E36D8E" w14:textId="4331E4D2" w:rsidR="00670E49" w:rsidRPr="00821DEC" w:rsidRDefault="00821DEC" w:rsidP="00821DEC">
            <w:pPr>
              <w:pStyle w:val="ListParagraph"/>
              <w:rPr>
                <w:lang w:val="fr-CA"/>
              </w:rPr>
            </w:pPr>
            <w:r w:rsidRPr="00821DEC">
              <w:rPr>
                <w:lang w:val="fr-CA"/>
              </w:rPr>
              <w:t xml:space="preserve">Veiller à suivre les directives de sécurité et d’éthique dans le cadre </w:t>
            </w:r>
            <w:r>
              <w:rPr>
                <w:lang w:val="fr-CA"/>
              </w:rPr>
              <w:br/>
            </w:r>
            <w:r w:rsidRPr="00821DEC">
              <w:rPr>
                <w:lang w:val="fr-CA"/>
              </w:rPr>
              <w:t>de ses recherches</w:t>
            </w:r>
          </w:p>
          <w:p w14:paraId="73E0B1BB" w14:textId="0953B10F" w:rsidR="00D96986" w:rsidRPr="00821DEC" w:rsidRDefault="00E11BAF" w:rsidP="00D96986">
            <w:pPr>
              <w:pStyle w:val="Topic"/>
              <w:contextualSpacing w:val="0"/>
              <w:rPr>
                <w:lang w:val="fr-CA"/>
              </w:rPr>
            </w:pPr>
            <w:r w:rsidRPr="00821DEC">
              <w:rPr>
                <w:rFonts w:cs="Arial"/>
                <w:color w:val="000000" w:themeColor="text1"/>
                <w:szCs w:val="20"/>
                <w:lang w:val="fr-CA"/>
              </w:rPr>
              <w:t xml:space="preserve">Traiter et analyser </w:t>
            </w:r>
            <w:r w:rsidRPr="00821DEC">
              <w:rPr>
                <w:rFonts w:cs="Calibri"/>
                <w:color w:val="000000" w:themeColor="text1"/>
                <w:szCs w:val="20"/>
                <w:lang w:val="fr-CA"/>
              </w:rPr>
              <w:t>des données et de l’information</w:t>
            </w:r>
          </w:p>
          <w:p w14:paraId="4E337AFE" w14:textId="77777777" w:rsidR="00821DEC" w:rsidRPr="00821DEC" w:rsidRDefault="00821DEC" w:rsidP="00821DEC">
            <w:pPr>
              <w:pStyle w:val="ListParagraph"/>
              <w:rPr>
                <w:lang w:val="fr-CA"/>
              </w:rPr>
            </w:pPr>
            <w:r w:rsidRPr="00821DEC">
              <w:rPr>
                <w:lang w:val="fr-CA"/>
              </w:rPr>
              <w:t>Découvrir son environnement immédiat et l’interpréter</w:t>
            </w:r>
          </w:p>
          <w:p w14:paraId="61D86295" w14:textId="52B95FBF" w:rsidR="00D96986" w:rsidRPr="00821DEC" w:rsidRDefault="00821DEC" w:rsidP="00821DEC">
            <w:pPr>
              <w:pStyle w:val="ListParagraph"/>
              <w:spacing w:after="120"/>
              <w:rPr>
                <w:lang w:val="fr-CA"/>
              </w:rPr>
            </w:pPr>
            <w:r w:rsidRPr="00821DEC">
              <w:rPr>
                <w:lang w:val="fr-CA"/>
              </w:rPr>
              <w:t xml:space="preserve">Recourir aux </w:t>
            </w:r>
            <w:r w:rsidRPr="00CF7F04">
              <w:rPr>
                <w:b/>
                <w:lang w:val="fr-CA"/>
              </w:rPr>
              <w:t>perspectives et connaissances des peuples autochtones</w:t>
            </w:r>
            <w:r w:rsidRPr="00821DEC">
              <w:rPr>
                <w:lang w:val="fr-CA"/>
              </w:rPr>
              <w:t xml:space="preserve">, </w:t>
            </w:r>
            <w:r w:rsidR="00EA464E">
              <w:rPr>
                <w:lang w:val="fr-CA"/>
              </w:rPr>
              <w:br/>
            </w:r>
            <w:r w:rsidRPr="00821DEC">
              <w:rPr>
                <w:lang w:val="fr-CA"/>
              </w:rPr>
              <w:t xml:space="preserve">aux autres </w:t>
            </w:r>
            <w:r w:rsidRPr="00CF7F04">
              <w:rPr>
                <w:b/>
                <w:lang w:val="fr-CA"/>
              </w:rPr>
              <w:t>modes d’acquisition des connaissances</w:t>
            </w:r>
            <w:r w:rsidRPr="00821DEC">
              <w:rPr>
                <w:lang w:val="fr-CA"/>
              </w:rPr>
              <w:t xml:space="preserve"> et aux connaissances locales comme sources d’information</w:t>
            </w:r>
            <w:r w:rsidR="00E11BAF" w:rsidRPr="00821DEC">
              <w:rPr>
                <w:lang w:val="fr-CA"/>
              </w:rPr>
              <w:t xml:space="preserve"> </w:t>
            </w:r>
          </w:p>
        </w:tc>
        <w:tc>
          <w:tcPr>
            <w:tcW w:w="2098" w:type="pct"/>
            <w:tcBorders>
              <w:top w:val="single" w:sz="2" w:space="0" w:color="auto"/>
              <w:left w:val="single" w:sz="2" w:space="0" w:color="auto"/>
              <w:bottom w:val="single" w:sz="2" w:space="0" w:color="auto"/>
              <w:right w:val="single" w:sz="2" w:space="0" w:color="auto"/>
            </w:tcBorders>
            <w:shd w:val="clear" w:color="auto" w:fill="auto"/>
          </w:tcPr>
          <w:p w14:paraId="2585E1AB" w14:textId="68DDCC1E" w:rsidR="005D2B45" w:rsidRPr="00821DEC" w:rsidRDefault="005D2B45" w:rsidP="005D2B45">
            <w:pPr>
              <w:spacing w:before="120" w:after="120"/>
              <w:rPr>
                <w:rFonts w:ascii="Helvetica Oblique" w:hAnsi="Helvetica Oblique"/>
                <w:i/>
                <w:iCs/>
                <w:sz w:val="20"/>
                <w:lang w:val="fr-CA"/>
              </w:rPr>
            </w:pPr>
            <w:r w:rsidRPr="00821DEC">
              <w:rPr>
                <w:rFonts w:ascii="Helvetica" w:hAnsi="Helvetica"/>
                <w:i/>
                <w:sz w:val="20"/>
                <w:szCs w:val="20"/>
                <w:lang w:val="fr-CA"/>
              </w:rPr>
              <w:t>L’élève connaîtra :</w:t>
            </w:r>
          </w:p>
          <w:p w14:paraId="7D76DF0E" w14:textId="77777777" w:rsidR="00821DEC" w:rsidRPr="00821DEC" w:rsidRDefault="00821DEC" w:rsidP="00821DEC">
            <w:pPr>
              <w:pStyle w:val="ListParagraph"/>
              <w:rPr>
                <w:b/>
                <w:lang w:val="fr-CA"/>
              </w:rPr>
            </w:pPr>
            <w:r w:rsidRPr="00821DEC">
              <w:rPr>
                <w:b/>
                <w:lang w:val="fr-CA"/>
              </w:rPr>
              <w:t>La structure et la fonction de l’ADN</w:t>
            </w:r>
          </w:p>
          <w:p w14:paraId="545806C9" w14:textId="77777777" w:rsidR="00821DEC" w:rsidRPr="00821DEC" w:rsidRDefault="00821DEC" w:rsidP="00821DEC">
            <w:pPr>
              <w:pStyle w:val="ListParagraph"/>
              <w:rPr>
                <w:b/>
                <w:lang w:val="fr-CA"/>
              </w:rPr>
            </w:pPr>
            <w:r w:rsidRPr="00821DEC">
              <w:rPr>
                <w:b/>
                <w:lang w:val="fr-CA"/>
              </w:rPr>
              <w:t>Les principes de l’hérédité</w:t>
            </w:r>
          </w:p>
          <w:p w14:paraId="50092536" w14:textId="2D411A4F" w:rsidR="00821DEC" w:rsidRPr="00821DEC" w:rsidRDefault="00821DEC" w:rsidP="00821DEC">
            <w:pPr>
              <w:pStyle w:val="ListParagraph"/>
              <w:rPr>
                <w:lang w:val="fr-CA"/>
              </w:rPr>
            </w:pPr>
            <w:r w:rsidRPr="00821DEC">
              <w:rPr>
                <w:lang w:val="fr-CA"/>
              </w:rPr>
              <w:t>Les mécanismes de la diversité de</w:t>
            </w:r>
            <w:r w:rsidR="00DF04D1">
              <w:rPr>
                <w:lang w:val="fr-CA"/>
              </w:rPr>
              <w:t>s organismes vivants</w:t>
            </w:r>
            <w:r w:rsidRPr="00821DEC">
              <w:rPr>
                <w:lang w:val="fr-CA"/>
              </w:rPr>
              <w:t> :</w:t>
            </w:r>
          </w:p>
          <w:p w14:paraId="09E55A71" w14:textId="77777777" w:rsidR="00821DEC" w:rsidRPr="00821DEC" w:rsidRDefault="00821DEC" w:rsidP="00821DEC">
            <w:pPr>
              <w:pStyle w:val="ListParagraphindent"/>
              <w:rPr>
                <w:b/>
                <w:lang w:val="fr-CA"/>
              </w:rPr>
            </w:pPr>
            <w:r w:rsidRPr="00821DEC">
              <w:rPr>
                <w:lang w:val="fr-CA"/>
              </w:rPr>
              <w:t>les</w:t>
            </w:r>
            <w:r w:rsidRPr="00821DEC">
              <w:rPr>
                <w:b/>
                <w:lang w:val="fr-CA"/>
              </w:rPr>
              <w:t xml:space="preserve"> mutations </w:t>
            </w:r>
            <w:r w:rsidRPr="00821DEC">
              <w:rPr>
                <w:lang w:val="fr-CA"/>
              </w:rPr>
              <w:t xml:space="preserve">et leur incidence sur l’évolution </w:t>
            </w:r>
          </w:p>
          <w:p w14:paraId="3ECB6204" w14:textId="77777777" w:rsidR="00821DEC" w:rsidRPr="00821DEC" w:rsidRDefault="00821DEC" w:rsidP="00821DEC">
            <w:pPr>
              <w:pStyle w:val="ListParagraphindent"/>
              <w:rPr>
                <w:b/>
                <w:lang w:val="fr-CA"/>
              </w:rPr>
            </w:pPr>
            <w:r w:rsidRPr="00821DEC">
              <w:rPr>
                <w:lang w:val="fr-CA"/>
              </w:rPr>
              <w:t>la</w:t>
            </w:r>
            <w:r w:rsidRPr="00821DEC">
              <w:rPr>
                <w:b/>
                <w:lang w:val="fr-CA"/>
              </w:rPr>
              <w:t xml:space="preserve"> sélection naturelle </w:t>
            </w:r>
            <w:r w:rsidRPr="00821DEC">
              <w:rPr>
                <w:lang w:val="fr-CA"/>
              </w:rPr>
              <w:t>et la</w:t>
            </w:r>
            <w:r w:rsidRPr="00821DEC">
              <w:rPr>
                <w:b/>
                <w:lang w:val="fr-CA"/>
              </w:rPr>
              <w:t xml:space="preserve"> sélection artificielle</w:t>
            </w:r>
          </w:p>
          <w:p w14:paraId="1B7BF970" w14:textId="77777777" w:rsidR="00821DEC" w:rsidRPr="00821DEC" w:rsidRDefault="00821DEC" w:rsidP="00821DEC">
            <w:pPr>
              <w:pStyle w:val="ListParagraph"/>
              <w:rPr>
                <w:lang w:val="fr-CA"/>
              </w:rPr>
            </w:pPr>
            <w:r w:rsidRPr="00821DEC">
              <w:rPr>
                <w:b/>
                <w:lang w:val="fr-CA"/>
              </w:rPr>
              <w:t>Les applications de la génétique</w:t>
            </w:r>
            <w:r w:rsidRPr="00821DEC">
              <w:rPr>
                <w:lang w:val="fr-CA"/>
              </w:rPr>
              <w:t xml:space="preserve"> et</w:t>
            </w:r>
            <w:r w:rsidRPr="00821DEC">
              <w:rPr>
                <w:b/>
                <w:lang w:val="fr-CA"/>
              </w:rPr>
              <w:t xml:space="preserve"> les considérations éthiques</w:t>
            </w:r>
          </w:p>
          <w:p w14:paraId="7E1D0A30" w14:textId="77777777" w:rsidR="00821DEC" w:rsidRPr="00821DEC" w:rsidRDefault="00821DEC" w:rsidP="00821DEC">
            <w:pPr>
              <w:pStyle w:val="ListParagraph"/>
              <w:rPr>
                <w:lang w:val="fr-CA"/>
              </w:rPr>
            </w:pPr>
            <w:r w:rsidRPr="00821DEC">
              <w:rPr>
                <w:rFonts w:cs="Arial"/>
                <w:lang w:val="fr-CA"/>
              </w:rPr>
              <w:t xml:space="preserve">Le réarrangement des atomes au cours des </w:t>
            </w:r>
            <w:r w:rsidRPr="00821DEC">
              <w:rPr>
                <w:rFonts w:cs="Arial"/>
                <w:b/>
                <w:lang w:val="fr-CA"/>
              </w:rPr>
              <w:t>réactions chimiques</w:t>
            </w:r>
          </w:p>
          <w:p w14:paraId="3B1CBEBC" w14:textId="77777777" w:rsidR="00821DEC" w:rsidRPr="00821DEC" w:rsidRDefault="00821DEC" w:rsidP="00821DEC">
            <w:pPr>
              <w:pStyle w:val="ListParagraph"/>
              <w:rPr>
                <w:lang w:val="fr-CA"/>
              </w:rPr>
            </w:pPr>
            <w:r w:rsidRPr="00821DEC">
              <w:rPr>
                <w:rFonts w:cs="Arial"/>
                <w:lang w:val="fr-CA"/>
              </w:rPr>
              <w:t>La chimie des réactions acide-base</w:t>
            </w:r>
          </w:p>
          <w:p w14:paraId="58CE1055" w14:textId="77777777" w:rsidR="00821DEC" w:rsidRPr="00821DEC" w:rsidRDefault="00821DEC" w:rsidP="00821DEC">
            <w:pPr>
              <w:pStyle w:val="ListParagraph"/>
              <w:rPr>
                <w:lang w:val="fr-CA"/>
              </w:rPr>
            </w:pPr>
            <w:r w:rsidRPr="00821DEC">
              <w:rPr>
                <w:rFonts w:cs="Arial"/>
                <w:lang w:val="fr-CA"/>
              </w:rPr>
              <w:t>La loi de la conservation de la masse</w:t>
            </w:r>
          </w:p>
          <w:p w14:paraId="74556524" w14:textId="77777777" w:rsidR="00821DEC" w:rsidRPr="00821DEC" w:rsidRDefault="00821DEC" w:rsidP="00821DEC">
            <w:pPr>
              <w:pStyle w:val="ListParagraph"/>
              <w:rPr>
                <w:lang w:val="fr-CA"/>
              </w:rPr>
            </w:pPr>
            <w:r w:rsidRPr="00821DEC">
              <w:rPr>
                <w:rFonts w:cs="Arial"/>
                <w:b/>
                <w:lang w:val="fr-CA"/>
              </w:rPr>
              <w:t>Les transferts d’énergie</w:t>
            </w:r>
            <w:r w:rsidRPr="00821DEC">
              <w:rPr>
                <w:rFonts w:cs="Arial"/>
                <w:lang w:val="fr-CA"/>
              </w:rPr>
              <w:t xml:space="preserve"> durant les réactions chimiques</w:t>
            </w:r>
          </w:p>
          <w:p w14:paraId="0B16153C" w14:textId="696A352B" w:rsidR="00821DEC" w:rsidRPr="00821DEC" w:rsidRDefault="00821DEC" w:rsidP="00821DEC">
            <w:pPr>
              <w:pStyle w:val="ListParagraph"/>
              <w:rPr>
                <w:lang w:val="fr-CA"/>
              </w:rPr>
            </w:pPr>
            <w:bookmarkStart w:id="0" w:name="_Hlk497423186"/>
            <w:r w:rsidRPr="00821DEC">
              <w:rPr>
                <w:rFonts w:cs="Arial"/>
                <w:b/>
                <w:lang w:val="fr-CA"/>
              </w:rPr>
              <w:t xml:space="preserve">Les applications pratiques et les répercussions </w:t>
            </w:r>
            <w:r w:rsidR="00EA464E">
              <w:rPr>
                <w:rFonts w:cs="Arial"/>
                <w:b/>
                <w:lang w:val="fr-CA"/>
              </w:rPr>
              <w:br/>
            </w:r>
            <w:r w:rsidRPr="00821DEC">
              <w:rPr>
                <w:rFonts w:cs="Arial"/>
                <w:b/>
                <w:lang w:val="fr-CA"/>
              </w:rPr>
              <w:t>des processus chimiques</w:t>
            </w:r>
            <w:r w:rsidRPr="00821DEC">
              <w:rPr>
                <w:rFonts w:cs="Arial"/>
                <w:lang w:val="fr-CA"/>
              </w:rPr>
              <w:t>, y compris les connaissances des peuples autochtones</w:t>
            </w:r>
            <w:bookmarkEnd w:id="0"/>
          </w:p>
          <w:p w14:paraId="69395BB6" w14:textId="77777777" w:rsidR="00821DEC" w:rsidRPr="00821DEC" w:rsidRDefault="00821DEC" w:rsidP="00821DEC">
            <w:pPr>
              <w:pStyle w:val="ListParagraph"/>
              <w:rPr>
                <w:lang w:val="fr-CA"/>
              </w:rPr>
            </w:pPr>
            <w:r w:rsidRPr="00821DEC">
              <w:rPr>
                <w:rFonts w:cs="Arial"/>
                <w:lang w:val="fr-CA"/>
              </w:rPr>
              <w:t>L’</w:t>
            </w:r>
            <w:r w:rsidRPr="00821DEC">
              <w:rPr>
                <w:rFonts w:cs="Arial"/>
                <w:b/>
                <w:lang w:val="fr-CA"/>
              </w:rPr>
              <w:t>énergie nucléaire</w:t>
            </w:r>
            <w:r w:rsidRPr="00821DEC">
              <w:rPr>
                <w:rFonts w:cs="Arial"/>
                <w:lang w:val="fr-CA"/>
              </w:rPr>
              <w:t xml:space="preserve"> </w:t>
            </w:r>
            <w:r w:rsidRPr="00821DEC">
              <w:rPr>
                <w:lang w:val="fr-CA"/>
              </w:rPr>
              <w:t>et</w:t>
            </w:r>
            <w:r w:rsidRPr="00821DEC">
              <w:rPr>
                <w:rFonts w:cs="Arial"/>
                <w:lang w:val="fr-CA"/>
              </w:rPr>
              <w:t xml:space="preserve"> la </w:t>
            </w:r>
            <w:r w:rsidRPr="00821DEC">
              <w:rPr>
                <w:rFonts w:cs="Arial"/>
                <w:b/>
                <w:lang w:val="fr-CA"/>
              </w:rPr>
              <w:t>radiation</w:t>
            </w:r>
          </w:p>
          <w:p w14:paraId="588048CE" w14:textId="77777777" w:rsidR="00821DEC" w:rsidRPr="00821DEC" w:rsidRDefault="00821DEC" w:rsidP="00821DEC">
            <w:pPr>
              <w:pStyle w:val="ListParagraph"/>
              <w:rPr>
                <w:i/>
                <w:lang w:val="fr-CA"/>
              </w:rPr>
            </w:pPr>
            <w:r w:rsidRPr="00821DEC">
              <w:rPr>
                <w:rFonts w:cs="Arial"/>
                <w:lang w:val="fr-CA"/>
              </w:rPr>
              <w:t>La Loi de la conservation de l’énergie</w:t>
            </w:r>
          </w:p>
          <w:p w14:paraId="4C75F20F" w14:textId="77777777" w:rsidR="00821DEC" w:rsidRPr="00821DEC" w:rsidRDefault="00821DEC" w:rsidP="00821DEC">
            <w:pPr>
              <w:pStyle w:val="ListParagraph"/>
              <w:rPr>
                <w:i/>
                <w:lang w:val="fr-CA"/>
              </w:rPr>
            </w:pPr>
            <w:r w:rsidRPr="00821DEC">
              <w:rPr>
                <w:rFonts w:cs="Trebuchet MS"/>
                <w:lang w:val="fr-CA"/>
              </w:rPr>
              <w:t>L’</w:t>
            </w:r>
            <w:r w:rsidRPr="00821DEC">
              <w:rPr>
                <w:rFonts w:cs="Trebuchet MS"/>
                <w:b/>
                <w:lang w:val="fr-CA"/>
              </w:rPr>
              <w:t>énergie potentielle</w:t>
            </w:r>
            <w:r w:rsidRPr="00821DEC">
              <w:rPr>
                <w:rFonts w:cs="Trebuchet MS"/>
                <w:lang w:val="fr-CA"/>
              </w:rPr>
              <w:t xml:space="preserve"> </w:t>
            </w:r>
            <w:r w:rsidRPr="00821DEC">
              <w:rPr>
                <w:lang w:val="fr-CA"/>
              </w:rPr>
              <w:t>et</w:t>
            </w:r>
            <w:r w:rsidRPr="00821DEC">
              <w:rPr>
                <w:rFonts w:cs="Trebuchet MS"/>
                <w:lang w:val="fr-CA"/>
              </w:rPr>
              <w:t xml:space="preserve"> </w:t>
            </w:r>
            <w:r w:rsidRPr="00821DEC">
              <w:rPr>
                <w:rFonts w:cs="Trebuchet MS"/>
                <w:b/>
                <w:lang w:val="fr-CA"/>
              </w:rPr>
              <w:t>énergie cinétique</w:t>
            </w:r>
            <w:r w:rsidRPr="00821DEC">
              <w:rPr>
                <w:rFonts w:cs="Trebuchet MS"/>
                <w:lang w:val="fr-CA"/>
              </w:rPr>
              <w:t xml:space="preserve"> </w:t>
            </w:r>
          </w:p>
          <w:p w14:paraId="63D40084" w14:textId="77777777" w:rsidR="00821DEC" w:rsidRPr="00821DEC" w:rsidRDefault="00821DEC" w:rsidP="00821DEC">
            <w:pPr>
              <w:pStyle w:val="ListParagraph"/>
              <w:rPr>
                <w:b/>
                <w:i/>
                <w:lang w:val="fr-CA"/>
              </w:rPr>
            </w:pPr>
            <w:r w:rsidRPr="00821DEC">
              <w:rPr>
                <w:rFonts w:cs="Trebuchet MS"/>
                <w:b/>
                <w:lang w:val="fr-CA"/>
              </w:rPr>
              <w:t>La transformation de l’énergie</w:t>
            </w:r>
          </w:p>
          <w:p w14:paraId="5724A457" w14:textId="1BB52117" w:rsidR="00821DEC" w:rsidRPr="00821DEC" w:rsidRDefault="00821DEC" w:rsidP="00821DEC">
            <w:pPr>
              <w:pStyle w:val="ListParagraph"/>
              <w:rPr>
                <w:b/>
                <w:lang w:val="fr-CA"/>
              </w:rPr>
            </w:pPr>
            <w:r w:rsidRPr="00821DEC">
              <w:rPr>
                <w:rFonts w:cs="Trebuchet MS"/>
                <w:b/>
                <w:lang w:val="fr-CA"/>
              </w:rPr>
              <w:t>Les répercussions de la transformation de l’énergie</w:t>
            </w:r>
            <w:r w:rsidRPr="00821DEC">
              <w:rPr>
                <w:rFonts w:cs="Trebuchet MS"/>
                <w:lang w:val="fr-CA"/>
              </w:rPr>
              <w:t xml:space="preserve">, </w:t>
            </w:r>
            <w:r>
              <w:rPr>
                <w:rFonts w:cs="Trebuchet MS"/>
                <w:lang w:val="fr-CA"/>
              </w:rPr>
              <w:br/>
            </w:r>
            <w:r w:rsidRPr="00821DEC">
              <w:rPr>
                <w:rFonts w:cs="Trebuchet MS"/>
                <w:lang w:val="fr-CA"/>
              </w:rPr>
              <w:t xml:space="preserve">à l’échelle locale et mondiale, résultant des technologies </w:t>
            </w:r>
          </w:p>
          <w:p w14:paraId="03C90176" w14:textId="768447E2" w:rsidR="007904B5" w:rsidRPr="00821DEC" w:rsidRDefault="007904B5" w:rsidP="00821DEC">
            <w:pPr>
              <w:rPr>
                <w:lang w:val="fr-CA"/>
              </w:rPr>
            </w:pPr>
          </w:p>
        </w:tc>
      </w:tr>
    </w:tbl>
    <w:p w14:paraId="4419F9AA" w14:textId="26718D3E" w:rsidR="0018557D" w:rsidRPr="00C40C1D" w:rsidRDefault="0018557D" w:rsidP="00B206D3">
      <w:pPr>
        <w:pBdr>
          <w:bottom w:val="single" w:sz="4" w:space="4" w:color="auto"/>
        </w:pBdr>
        <w:tabs>
          <w:tab w:val="right" w:pos="14232"/>
        </w:tabs>
        <w:ind w:left="1368" w:right="-112"/>
        <w:rPr>
          <w:b/>
          <w:sz w:val="28"/>
          <w:lang w:val="fr-CA"/>
        </w:rPr>
      </w:pPr>
      <w:r w:rsidRPr="00C40C1D">
        <w:rPr>
          <w:lang w:val="fr-CA"/>
        </w:rPr>
        <w:br w:type="page"/>
      </w:r>
      <w:r w:rsidRPr="00C40C1D">
        <w:rPr>
          <w:b/>
          <w:noProof/>
          <w:szCs w:val="20"/>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C40C1D">
        <w:rPr>
          <w:b/>
          <w:sz w:val="28"/>
          <w:lang w:val="fr-CA"/>
        </w:rPr>
        <w:t>Domaine d’apprentissage : SCIENCES — Programme provincial de base de la 10</w:t>
      </w:r>
      <w:r w:rsidR="00E11BAF" w:rsidRPr="00C40C1D">
        <w:rPr>
          <w:rFonts w:ascii="Times New Roman Bold" w:hAnsi="Times New Roman Bold"/>
          <w:b/>
          <w:position w:val="6"/>
          <w:sz w:val="22"/>
          <w:lang w:val="fr-CA"/>
        </w:rPr>
        <w:t>e</w:t>
      </w:r>
      <w:r w:rsidR="00E11BAF" w:rsidRPr="00C40C1D">
        <w:rPr>
          <w:b/>
          <w:sz w:val="28"/>
          <w:lang w:val="fr-CA"/>
        </w:rPr>
        <w:t xml:space="preserve"> année</w:t>
      </w:r>
      <w:r w:rsidR="00E11BAF" w:rsidRPr="00C40C1D">
        <w:rPr>
          <w:b/>
          <w:sz w:val="28"/>
          <w:lang w:val="fr-CA"/>
        </w:rPr>
        <w:tab/>
      </w:r>
    </w:p>
    <w:p w14:paraId="338BD436" w14:textId="77777777" w:rsidR="0018557D" w:rsidRPr="00C40C1D" w:rsidRDefault="0018557D" w:rsidP="00B206D3">
      <w:pPr>
        <w:rPr>
          <w:rFonts w:ascii="Arial" w:hAnsi="Arial"/>
          <w:b/>
          <w:lang w:val="fr-CA"/>
        </w:rPr>
      </w:pPr>
      <w:r w:rsidRPr="00C40C1D">
        <w:rPr>
          <w:b/>
          <w:sz w:val="28"/>
          <w:lang w:val="fr-CA"/>
        </w:rPr>
        <w:tab/>
      </w:r>
    </w:p>
    <w:p w14:paraId="1658F336" w14:textId="1F1E9605" w:rsidR="0018557D" w:rsidRPr="00C40C1D" w:rsidRDefault="00E11BAF" w:rsidP="00B206D3">
      <w:pPr>
        <w:spacing w:after="160"/>
        <w:jc w:val="center"/>
        <w:outlineLvl w:val="0"/>
        <w:rPr>
          <w:sz w:val="28"/>
          <w:lang w:val="fr-CA"/>
        </w:rPr>
      </w:pPr>
      <w:r w:rsidRPr="00C40C1D">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3"/>
        <w:gridCol w:w="5891"/>
      </w:tblGrid>
      <w:tr w:rsidR="00821DEC" w:rsidRPr="00C40C1D" w14:paraId="2367A8FA" w14:textId="77777777" w:rsidTr="00821DEC">
        <w:tc>
          <w:tcPr>
            <w:tcW w:w="2913"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C40C1D" w:rsidRDefault="00E11BAF" w:rsidP="00AE3A49">
            <w:pPr>
              <w:spacing w:before="60" w:after="60"/>
              <w:rPr>
                <w:b/>
                <w:szCs w:val="22"/>
                <w:lang w:val="fr-CA"/>
              </w:rPr>
            </w:pPr>
            <w:r w:rsidRPr="00C40C1D">
              <w:rPr>
                <w:b/>
                <w:szCs w:val="22"/>
                <w:lang w:val="fr-CA"/>
              </w:rPr>
              <w:t>Compétences disciplinaires</w:t>
            </w:r>
          </w:p>
        </w:tc>
        <w:tc>
          <w:tcPr>
            <w:tcW w:w="2087"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C40C1D" w:rsidRDefault="00E11BAF" w:rsidP="00AE3A49">
            <w:pPr>
              <w:spacing w:before="60" w:after="60"/>
              <w:rPr>
                <w:b/>
                <w:szCs w:val="22"/>
                <w:lang w:val="fr-CA"/>
              </w:rPr>
            </w:pPr>
            <w:r w:rsidRPr="00C40C1D">
              <w:rPr>
                <w:b/>
                <w:color w:val="FFFFFF" w:themeColor="background1"/>
                <w:szCs w:val="22"/>
                <w:lang w:val="fr-CA"/>
              </w:rPr>
              <w:t>Contenu</w:t>
            </w:r>
          </w:p>
        </w:tc>
      </w:tr>
      <w:tr w:rsidR="00821DEC" w:rsidRPr="00C40C1D" w14:paraId="522264D9" w14:textId="77777777" w:rsidTr="00821DEC">
        <w:trPr>
          <w:trHeight w:val="484"/>
        </w:trPr>
        <w:tc>
          <w:tcPr>
            <w:tcW w:w="2913" w:type="pct"/>
            <w:tcBorders>
              <w:top w:val="single" w:sz="2" w:space="0" w:color="auto"/>
              <w:left w:val="single" w:sz="2" w:space="0" w:color="auto"/>
              <w:bottom w:val="single" w:sz="2" w:space="0" w:color="auto"/>
              <w:right w:val="single" w:sz="2" w:space="0" w:color="auto"/>
            </w:tcBorders>
            <w:shd w:val="clear" w:color="auto" w:fill="auto"/>
          </w:tcPr>
          <w:p w14:paraId="14280DC7" w14:textId="69D40589" w:rsidR="00821DEC" w:rsidRPr="00821DEC" w:rsidRDefault="00821DEC" w:rsidP="00821DEC">
            <w:pPr>
              <w:pStyle w:val="ListParagraph"/>
              <w:spacing w:before="120"/>
              <w:rPr>
                <w:lang w:val="fr-CA"/>
              </w:rPr>
            </w:pPr>
            <w:r w:rsidRPr="00821DEC">
              <w:rPr>
                <w:lang w:val="fr-CA"/>
              </w:rPr>
              <w:t xml:space="preserve">Relever et analyser les </w:t>
            </w:r>
            <w:r w:rsidR="00DF04D1">
              <w:rPr>
                <w:lang w:val="fr-CA"/>
              </w:rPr>
              <w:t>régularités</w:t>
            </w:r>
            <w:r w:rsidRPr="00821DEC">
              <w:rPr>
                <w:lang w:val="fr-CA"/>
              </w:rPr>
              <w:t xml:space="preserve">, les tendances et les rapprochements </w:t>
            </w:r>
            <w:r w:rsidR="001A27CA">
              <w:rPr>
                <w:lang w:val="fr-CA"/>
              </w:rPr>
              <w:br/>
            </w:r>
            <w:r w:rsidRPr="00821DEC">
              <w:rPr>
                <w:lang w:val="fr-CA"/>
              </w:rPr>
              <w:t xml:space="preserve">dans les données, y compris les relations entre les variables (dépendantes </w:t>
            </w:r>
            <w:r w:rsidR="001A27CA">
              <w:rPr>
                <w:lang w:val="fr-CA"/>
              </w:rPr>
              <w:br/>
            </w:r>
            <w:r w:rsidRPr="00821DEC">
              <w:rPr>
                <w:lang w:val="fr-CA"/>
              </w:rPr>
              <w:t xml:space="preserve">et indépendantes) et les incohérences </w:t>
            </w:r>
          </w:p>
          <w:p w14:paraId="5FA53E8B" w14:textId="0CA50BFB" w:rsidR="00821DEC" w:rsidRPr="00821DEC" w:rsidRDefault="00821DEC" w:rsidP="00821DEC">
            <w:pPr>
              <w:pStyle w:val="ListParagraph"/>
              <w:rPr>
                <w:lang w:val="fr-CA"/>
              </w:rPr>
            </w:pPr>
            <w:r w:rsidRPr="00821DEC">
              <w:rPr>
                <w:lang w:val="fr-CA"/>
              </w:rPr>
              <w:t xml:space="preserve">Tracer, analyser et interpréter des graphiques (y compris par interpolation </w:t>
            </w:r>
            <w:r>
              <w:rPr>
                <w:lang w:val="fr-CA"/>
              </w:rPr>
              <w:br/>
            </w:r>
            <w:r w:rsidRPr="00821DEC">
              <w:rPr>
                <w:lang w:val="fr-CA"/>
              </w:rPr>
              <w:t>et extrapolation), des modèles et des diagrammes</w:t>
            </w:r>
          </w:p>
          <w:p w14:paraId="615D3DA0" w14:textId="77777777" w:rsidR="00821DEC" w:rsidRPr="00821DEC" w:rsidRDefault="00821DEC" w:rsidP="00821DEC">
            <w:pPr>
              <w:pStyle w:val="ListParagraph"/>
              <w:rPr>
                <w:lang w:val="fr-CA"/>
              </w:rPr>
            </w:pPr>
            <w:r w:rsidRPr="00821DEC">
              <w:rPr>
                <w:lang w:val="fr-CA"/>
              </w:rPr>
              <w:t xml:space="preserve">Appliquer ses connaissances des concepts scientifiques pour tirer des conclusions correspondant aux éléments de preuve </w:t>
            </w:r>
          </w:p>
          <w:p w14:paraId="1C8889E8" w14:textId="423161A6" w:rsidR="0018557D" w:rsidRPr="00821DEC" w:rsidRDefault="00821DEC" w:rsidP="00821DEC">
            <w:pPr>
              <w:pStyle w:val="ListParagraph"/>
              <w:rPr>
                <w:lang w:val="fr-CA"/>
              </w:rPr>
            </w:pPr>
            <w:r w:rsidRPr="00821DEC">
              <w:rPr>
                <w:lang w:val="fr-CA"/>
              </w:rPr>
              <w:t>Analyser des relations de cause à effet</w:t>
            </w:r>
          </w:p>
          <w:p w14:paraId="158E28F8" w14:textId="275F0247" w:rsidR="00D96986" w:rsidRPr="00821DEC" w:rsidRDefault="00E11BAF" w:rsidP="00D96986">
            <w:pPr>
              <w:pStyle w:val="Topic"/>
              <w:contextualSpacing w:val="0"/>
              <w:rPr>
                <w:lang w:val="fr-CA"/>
              </w:rPr>
            </w:pPr>
            <w:r w:rsidRPr="00821DEC">
              <w:rPr>
                <w:rFonts w:cs="Arial"/>
                <w:color w:val="000000" w:themeColor="text1"/>
                <w:szCs w:val="20"/>
                <w:lang w:val="fr-CA"/>
              </w:rPr>
              <w:t>Évaluer</w:t>
            </w:r>
          </w:p>
          <w:p w14:paraId="5E8E4F0F" w14:textId="77777777" w:rsidR="00821DEC" w:rsidRPr="00821DEC" w:rsidRDefault="00821DEC" w:rsidP="00821DEC">
            <w:pPr>
              <w:pStyle w:val="ListParagraph"/>
              <w:rPr>
                <w:lang w:val="fr-CA"/>
              </w:rPr>
            </w:pPr>
            <w:r w:rsidRPr="00821DEC">
              <w:rPr>
                <w:lang w:val="fr-CA"/>
              </w:rPr>
              <w:t>Évaluer ses méthodes et conditions expérimentales, notamment en déterminant des sources d’erreur ou d’incertitude et des variables de confusion, et en examinant d’autres explications et conclusions </w:t>
            </w:r>
          </w:p>
          <w:p w14:paraId="147BDE46" w14:textId="32C95F9F" w:rsidR="00821DEC" w:rsidRPr="00821DEC" w:rsidRDefault="00821DEC" w:rsidP="00821DEC">
            <w:pPr>
              <w:pStyle w:val="ListParagraph"/>
              <w:rPr>
                <w:lang w:val="fr-CA"/>
              </w:rPr>
            </w:pPr>
            <w:r w:rsidRPr="00821DEC">
              <w:rPr>
                <w:lang w:val="fr-CA"/>
              </w:rPr>
              <w:t xml:space="preserve">Décrire des moyens précis d’améliorer ses méthodes de recherche et la qualité </w:t>
            </w:r>
            <w:r>
              <w:rPr>
                <w:lang w:val="fr-CA"/>
              </w:rPr>
              <w:br/>
            </w:r>
            <w:r w:rsidRPr="00821DEC">
              <w:rPr>
                <w:lang w:val="fr-CA"/>
              </w:rPr>
              <w:t>des données recueillies</w:t>
            </w:r>
          </w:p>
          <w:p w14:paraId="6F0AE584" w14:textId="72661C84" w:rsidR="00821DEC" w:rsidRPr="00821DEC" w:rsidRDefault="00821DEC" w:rsidP="00821DEC">
            <w:pPr>
              <w:pStyle w:val="ListParagraph"/>
              <w:rPr>
                <w:lang w:val="fr-CA"/>
              </w:rPr>
            </w:pPr>
            <w:r w:rsidRPr="00821DEC">
              <w:rPr>
                <w:lang w:val="fr-CA"/>
              </w:rPr>
              <w:t xml:space="preserve">Évaluer la validité et les limites d’un modèle ou d’une analogie décrivant </w:t>
            </w:r>
            <w:r>
              <w:rPr>
                <w:lang w:val="fr-CA"/>
              </w:rPr>
              <w:br/>
            </w:r>
            <w:r w:rsidRPr="00821DEC">
              <w:rPr>
                <w:lang w:val="fr-CA"/>
              </w:rPr>
              <w:t>le phénomène étudié</w:t>
            </w:r>
          </w:p>
          <w:p w14:paraId="1013DABD" w14:textId="23FDF8EF" w:rsidR="00821DEC" w:rsidRPr="00821DEC" w:rsidRDefault="00821DEC" w:rsidP="00821DEC">
            <w:pPr>
              <w:pStyle w:val="ListParagraph"/>
              <w:rPr>
                <w:lang w:val="fr-CA"/>
              </w:rPr>
            </w:pPr>
            <w:r w:rsidRPr="00821DEC">
              <w:rPr>
                <w:lang w:val="fr-CA"/>
              </w:rPr>
              <w:t xml:space="preserve">Être au fait de la fragilité des hypothèses, remettre en question l’information </w:t>
            </w:r>
            <w:r w:rsidR="001A27CA">
              <w:rPr>
                <w:lang w:val="fr-CA"/>
              </w:rPr>
              <w:br/>
            </w:r>
            <w:r w:rsidRPr="00821DEC">
              <w:rPr>
                <w:lang w:val="fr-CA"/>
              </w:rPr>
              <w:t xml:space="preserve">fournie et déceler les idées reçues dans son propre travail ainsi que dans </w:t>
            </w:r>
            <w:r w:rsidR="001A27CA">
              <w:rPr>
                <w:lang w:val="fr-CA"/>
              </w:rPr>
              <w:br/>
            </w:r>
            <w:r w:rsidRPr="00821DEC">
              <w:rPr>
                <w:lang w:val="fr-CA"/>
              </w:rPr>
              <w:t>les sources secondaires</w:t>
            </w:r>
            <w:r w:rsidR="00CF7F04">
              <w:rPr>
                <w:lang w:val="fr-CA"/>
              </w:rPr>
              <w:t xml:space="preserve"> </w:t>
            </w:r>
          </w:p>
          <w:p w14:paraId="64BB39C8" w14:textId="7600DB33" w:rsidR="00821DEC" w:rsidRPr="00821DEC" w:rsidRDefault="00821DEC" w:rsidP="00821DEC">
            <w:pPr>
              <w:pStyle w:val="ListParagraph"/>
              <w:rPr>
                <w:lang w:val="fr-CA"/>
              </w:rPr>
            </w:pPr>
            <w:r w:rsidRPr="00821DEC">
              <w:rPr>
                <w:lang w:val="fr-CA"/>
              </w:rPr>
              <w:t xml:space="preserve">Tenir compte de l’évolution du savoir attribuable au développement des outils </w:t>
            </w:r>
            <w:r>
              <w:rPr>
                <w:lang w:val="fr-CA"/>
              </w:rPr>
              <w:br/>
            </w:r>
            <w:r w:rsidRPr="00821DEC">
              <w:rPr>
                <w:lang w:val="fr-CA"/>
              </w:rPr>
              <w:t>et des technologies</w:t>
            </w:r>
            <w:r w:rsidR="00CF7F04">
              <w:rPr>
                <w:lang w:val="fr-CA"/>
              </w:rPr>
              <w:t xml:space="preserve"> </w:t>
            </w:r>
          </w:p>
          <w:p w14:paraId="7DA4A58A" w14:textId="3F4DCEDE" w:rsidR="00821DEC" w:rsidRPr="00821DEC" w:rsidRDefault="00821DEC" w:rsidP="00821DEC">
            <w:pPr>
              <w:pStyle w:val="ListParagraph"/>
              <w:rPr>
                <w:lang w:val="fr-CA"/>
              </w:rPr>
            </w:pPr>
            <w:r w:rsidRPr="00821DEC">
              <w:rPr>
                <w:lang w:val="fr-CA"/>
              </w:rPr>
              <w:t xml:space="preserve">Établir des liens entre les explorations scientifiques et les possibilités de carrière </w:t>
            </w:r>
            <w:r>
              <w:rPr>
                <w:lang w:val="fr-CA"/>
              </w:rPr>
              <w:br/>
            </w:r>
            <w:r w:rsidRPr="00821DEC">
              <w:rPr>
                <w:lang w:val="fr-CA"/>
              </w:rPr>
              <w:t xml:space="preserve">en sciences </w:t>
            </w:r>
          </w:p>
          <w:p w14:paraId="306F90F3" w14:textId="77777777" w:rsidR="00821DEC" w:rsidRPr="00821DEC" w:rsidRDefault="00821DEC" w:rsidP="00821DEC">
            <w:pPr>
              <w:pStyle w:val="ListParagraph"/>
              <w:rPr>
                <w:lang w:val="fr-CA"/>
              </w:rPr>
            </w:pPr>
            <w:r w:rsidRPr="00821DEC">
              <w:rPr>
                <w:lang w:val="fr-CA"/>
              </w:rPr>
              <w:t>Faire preuve d’un scepticisme éclairé et appuyer la réalisation de ses propres recherches ainsi que l’évaluation des conclusions d’autres travaux de recherche sur les connaissances et les découvertes scientifiques </w:t>
            </w:r>
          </w:p>
          <w:p w14:paraId="431890D2" w14:textId="6143A37E" w:rsidR="00821DEC" w:rsidRPr="00821DEC" w:rsidRDefault="00821DEC" w:rsidP="00821DEC">
            <w:pPr>
              <w:pStyle w:val="ListParagraph"/>
              <w:rPr>
                <w:lang w:val="fr-CA"/>
              </w:rPr>
            </w:pPr>
            <w:r w:rsidRPr="00821DEC">
              <w:rPr>
                <w:lang w:val="fr-CA"/>
              </w:rPr>
              <w:t xml:space="preserve">Réfléchir aux conséquences sociales, éthiques et environnementales </w:t>
            </w:r>
            <w:r w:rsidR="001A27CA">
              <w:rPr>
                <w:lang w:val="fr-CA"/>
              </w:rPr>
              <w:br/>
            </w:r>
            <w:r w:rsidRPr="00821DEC">
              <w:rPr>
                <w:lang w:val="fr-CA"/>
              </w:rPr>
              <w:t xml:space="preserve">des résultats de ses propres recherches et d’autres travaux de recherche </w:t>
            </w:r>
          </w:p>
          <w:p w14:paraId="287E313D" w14:textId="20789A43" w:rsidR="00D96986" w:rsidRPr="00821DEC" w:rsidRDefault="00821DEC" w:rsidP="00821DEC">
            <w:pPr>
              <w:pStyle w:val="ListParagraph"/>
              <w:spacing w:after="120"/>
              <w:rPr>
                <w:lang w:val="fr-CA"/>
              </w:rPr>
            </w:pPr>
            <w:r w:rsidRPr="00821DEC">
              <w:rPr>
                <w:lang w:val="fr-CA"/>
              </w:rPr>
              <w:t>Procéder à une analyse critique de l’information provenant de sources secondaires et évaluer les approches employées pour la résolution des problèmes</w:t>
            </w:r>
          </w:p>
        </w:tc>
        <w:tc>
          <w:tcPr>
            <w:tcW w:w="2087" w:type="pct"/>
            <w:tcBorders>
              <w:top w:val="single" w:sz="2" w:space="0" w:color="auto"/>
              <w:left w:val="single" w:sz="2" w:space="0" w:color="auto"/>
              <w:bottom w:val="single" w:sz="2" w:space="0" w:color="auto"/>
              <w:right w:val="single" w:sz="2" w:space="0" w:color="auto"/>
            </w:tcBorders>
            <w:shd w:val="clear" w:color="auto" w:fill="auto"/>
          </w:tcPr>
          <w:p w14:paraId="6FCB6F29" w14:textId="77777777" w:rsidR="00821DEC" w:rsidRPr="00821DEC" w:rsidRDefault="00821DEC" w:rsidP="00821DEC">
            <w:pPr>
              <w:pStyle w:val="ListParagraph"/>
              <w:spacing w:before="120"/>
              <w:rPr>
                <w:rFonts w:cs="Arial"/>
                <w:bCs/>
                <w:lang w:val="fr-CA" w:eastAsia="ja-JP"/>
              </w:rPr>
            </w:pPr>
            <w:r w:rsidRPr="00821DEC">
              <w:rPr>
                <w:lang w:val="fr-CA"/>
              </w:rPr>
              <w:t>La formation</w:t>
            </w:r>
            <w:r w:rsidRPr="00821DEC">
              <w:rPr>
                <w:rFonts w:cs="Arial"/>
                <w:bCs/>
                <w:lang w:val="fr-CA" w:eastAsia="ja-JP"/>
              </w:rPr>
              <w:t xml:space="preserve"> de l’Univers :</w:t>
            </w:r>
          </w:p>
          <w:p w14:paraId="6A746271" w14:textId="77777777" w:rsidR="00821DEC" w:rsidRPr="00821DEC" w:rsidRDefault="00821DEC" w:rsidP="00821DEC">
            <w:pPr>
              <w:pStyle w:val="ListParagraphindent"/>
              <w:rPr>
                <w:b/>
                <w:lang w:val="fr-CA"/>
              </w:rPr>
            </w:pPr>
            <w:r w:rsidRPr="00821DEC">
              <w:rPr>
                <w:lang w:val="fr-CA"/>
              </w:rPr>
              <w:t xml:space="preserve">la théorie du big bang </w:t>
            </w:r>
          </w:p>
          <w:p w14:paraId="0DF16E48" w14:textId="77777777" w:rsidR="00821DEC" w:rsidRPr="00821DEC" w:rsidRDefault="00821DEC" w:rsidP="00821DEC">
            <w:pPr>
              <w:pStyle w:val="ListParagraphindent"/>
              <w:rPr>
                <w:b/>
                <w:lang w:val="fr-CA"/>
              </w:rPr>
            </w:pPr>
            <w:r w:rsidRPr="00821DEC">
              <w:rPr>
                <w:b/>
                <w:lang w:val="fr-CA"/>
              </w:rPr>
              <w:t xml:space="preserve">l’évolution des composantes de l’Univers </w:t>
            </w:r>
          </w:p>
          <w:p w14:paraId="28E41C67" w14:textId="022082D9" w:rsidR="007904B5" w:rsidRPr="00821DEC" w:rsidRDefault="00821DEC" w:rsidP="00821DEC">
            <w:pPr>
              <w:pStyle w:val="ListParagraph"/>
              <w:rPr>
                <w:b/>
              </w:rPr>
            </w:pPr>
            <w:r w:rsidRPr="00821DEC">
              <w:rPr>
                <w:b/>
              </w:rPr>
              <w:t>Les données astronomiques et les méthodes de collecte des données</w:t>
            </w:r>
          </w:p>
        </w:tc>
      </w:tr>
    </w:tbl>
    <w:p w14:paraId="11F8D426" w14:textId="276F3415" w:rsidR="00D96986" w:rsidRPr="00C40C1D" w:rsidRDefault="00D96986" w:rsidP="00D96986">
      <w:pPr>
        <w:pBdr>
          <w:bottom w:val="single" w:sz="4" w:space="4" w:color="auto"/>
        </w:pBdr>
        <w:tabs>
          <w:tab w:val="right" w:pos="14232"/>
        </w:tabs>
        <w:ind w:left="1368" w:right="-112"/>
        <w:rPr>
          <w:b/>
          <w:sz w:val="28"/>
          <w:lang w:val="fr-CA"/>
        </w:rPr>
      </w:pPr>
      <w:r w:rsidRPr="00C40C1D">
        <w:rPr>
          <w:b/>
          <w:noProof/>
          <w:szCs w:val="20"/>
        </w:rPr>
        <w:lastRenderedPageBreak/>
        <w:drawing>
          <wp:anchor distT="0" distB="0" distL="114300" distR="114300" simplePos="0" relativeHeight="251666944" behindDoc="0" locked="0" layoutInCell="1" allowOverlap="1" wp14:anchorId="69A552D7" wp14:editId="7D3149F3">
            <wp:simplePos x="0" y="0"/>
            <wp:positionH relativeFrom="page">
              <wp:posOffset>532737</wp:posOffset>
            </wp:positionH>
            <wp:positionV relativeFrom="page">
              <wp:posOffset>371061</wp:posOffset>
            </wp:positionV>
            <wp:extent cx="839491" cy="70369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C40C1D">
        <w:rPr>
          <w:b/>
          <w:sz w:val="28"/>
          <w:lang w:val="fr-CA"/>
        </w:rPr>
        <w:t>Domaine d’apprentissage : SCIENCES — Programme provincial de base de la 10</w:t>
      </w:r>
      <w:r w:rsidR="00E11BAF" w:rsidRPr="00C40C1D">
        <w:rPr>
          <w:rFonts w:ascii="Times New Roman Bold" w:hAnsi="Times New Roman Bold"/>
          <w:b/>
          <w:position w:val="6"/>
          <w:sz w:val="22"/>
          <w:lang w:val="fr-CA"/>
        </w:rPr>
        <w:t>e</w:t>
      </w:r>
      <w:r w:rsidR="00E11BAF" w:rsidRPr="00C40C1D">
        <w:rPr>
          <w:b/>
          <w:sz w:val="28"/>
          <w:lang w:val="fr-CA"/>
        </w:rPr>
        <w:t xml:space="preserve"> année</w:t>
      </w:r>
      <w:r w:rsidRPr="00C40C1D">
        <w:rPr>
          <w:b/>
          <w:sz w:val="28"/>
          <w:lang w:val="fr-CA"/>
        </w:rPr>
        <w:tab/>
      </w:r>
    </w:p>
    <w:p w14:paraId="11EF72B9" w14:textId="1F33F960" w:rsidR="00D96986" w:rsidRPr="00C40C1D" w:rsidRDefault="00D96986" w:rsidP="00D96986">
      <w:pPr>
        <w:rPr>
          <w:rFonts w:ascii="Arial" w:hAnsi="Arial"/>
          <w:b/>
          <w:lang w:val="fr-CA"/>
        </w:rPr>
      </w:pPr>
      <w:r w:rsidRPr="00C40C1D">
        <w:rPr>
          <w:b/>
          <w:sz w:val="28"/>
          <w:lang w:val="fr-CA"/>
        </w:rPr>
        <w:tab/>
      </w:r>
    </w:p>
    <w:p w14:paraId="2A10F089" w14:textId="104CA385" w:rsidR="00D96986" w:rsidRPr="00C40C1D" w:rsidRDefault="00E11BAF" w:rsidP="00D96986">
      <w:pPr>
        <w:spacing w:after="160"/>
        <w:jc w:val="center"/>
        <w:outlineLvl w:val="0"/>
        <w:rPr>
          <w:b/>
          <w:sz w:val="28"/>
          <w:szCs w:val="22"/>
          <w:lang w:val="fr-CA"/>
        </w:rPr>
      </w:pPr>
      <w:r w:rsidRPr="00C40C1D">
        <w:rPr>
          <w:b/>
          <w:sz w:val="28"/>
          <w:szCs w:val="22"/>
          <w:lang w:val="fr-CA"/>
        </w:rPr>
        <w:t>Normes d’apprentissage</w:t>
      </w:r>
      <w:r w:rsidR="00D96986" w:rsidRPr="00C40C1D">
        <w:rPr>
          <w:b/>
          <w:sz w:val="28"/>
          <w:szCs w:val="22"/>
          <w:lang w:val="fr-CA"/>
        </w:rPr>
        <w:t xml:space="preserve"> (</w:t>
      </w:r>
      <w:r w:rsidRPr="00C40C1D">
        <w:rPr>
          <w:b/>
          <w:sz w:val="28"/>
          <w:szCs w:val="22"/>
          <w:lang w:val="fr-CA"/>
        </w:rPr>
        <w:t>suite</w:t>
      </w:r>
      <w:r w:rsidR="00D96986" w:rsidRPr="00C40C1D">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8"/>
        <w:gridCol w:w="6586"/>
      </w:tblGrid>
      <w:tr w:rsidR="00E11BAF" w:rsidRPr="00C40C1D" w14:paraId="6FD81852" w14:textId="77777777" w:rsidTr="00E11BAF">
        <w:tc>
          <w:tcPr>
            <w:tcW w:w="2667" w:type="pct"/>
            <w:tcBorders>
              <w:top w:val="single" w:sz="2" w:space="0" w:color="auto"/>
              <w:left w:val="single" w:sz="2" w:space="0" w:color="auto"/>
              <w:bottom w:val="single" w:sz="2" w:space="0" w:color="auto"/>
              <w:right w:val="single" w:sz="2" w:space="0" w:color="auto"/>
            </w:tcBorders>
            <w:shd w:val="clear" w:color="auto" w:fill="333333"/>
          </w:tcPr>
          <w:p w14:paraId="14214992" w14:textId="77777777" w:rsidR="00E11BAF" w:rsidRPr="00C40C1D" w:rsidRDefault="00E11BAF" w:rsidP="00AE3A49">
            <w:pPr>
              <w:spacing w:before="60" w:after="60"/>
              <w:rPr>
                <w:b/>
                <w:szCs w:val="22"/>
                <w:lang w:val="fr-CA"/>
              </w:rPr>
            </w:pPr>
            <w:r w:rsidRPr="00C40C1D">
              <w:rPr>
                <w:b/>
                <w:szCs w:val="22"/>
                <w:lang w:val="fr-CA"/>
              </w:rPr>
              <w:t>Compétences disciplinaires</w:t>
            </w:r>
          </w:p>
        </w:tc>
        <w:tc>
          <w:tcPr>
            <w:tcW w:w="2333" w:type="pct"/>
            <w:tcBorders>
              <w:top w:val="single" w:sz="2" w:space="0" w:color="auto"/>
              <w:left w:val="single" w:sz="2" w:space="0" w:color="auto"/>
              <w:bottom w:val="single" w:sz="2" w:space="0" w:color="auto"/>
              <w:right w:val="single" w:sz="2" w:space="0" w:color="auto"/>
            </w:tcBorders>
            <w:shd w:val="clear" w:color="auto" w:fill="778E96"/>
          </w:tcPr>
          <w:p w14:paraId="5C1013E5" w14:textId="77777777" w:rsidR="00E11BAF" w:rsidRPr="00C40C1D" w:rsidRDefault="00E11BAF" w:rsidP="00AE3A49">
            <w:pPr>
              <w:spacing w:before="60" w:after="60"/>
              <w:rPr>
                <w:b/>
                <w:szCs w:val="22"/>
                <w:lang w:val="fr-CA"/>
              </w:rPr>
            </w:pPr>
            <w:r w:rsidRPr="00C40C1D">
              <w:rPr>
                <w:b/>
                <w:color w:val="FFFFFF" w:themeColor="background1"/>
                <w:szCs w:val="22"/>
                <w:lang w:val="fr-CA"/>
              </w:rPr>
              <w:t>Contenu</w:t>
            </w:r>
          </w:p>
        </w:tc>
      </w:tr>
      <w:tr w:rsidR="00E11BAF" w:rsidRPr="00C40C1D" w14:paraId="524E05DD" w14:textId="77777777" w:rsidTr="00E11BAF">
        <w:trPr>
          <w:trHeight w:val="484"/>
        </w:trPr>
        <w:tc>
          <w:tcPr>
            <w:tcW w:w="2667" w:type="pct"/>
            <w:tcBorders>
              <w:top w:val="single" w:sz="2" w:space="0" w:color="auto"/>
              <w:left w:val="single" w:sz="2" w:space="0" w:color="auto"/>
              <w:bottom w:val="single" w:sz="2" w:space="0" w:color="auto"/>
              <w:right w:val="single" w:sz="2" w:space="0" w:color="auto"/>
            </w:tcBorders>
            <w:shd w:val="clear" w:color="auto" w:fill="auto"/>
          </w:tcPr>
          <w:p w14:paraId="6BAA6048" w14:textId="77777777" w:rsidR="00E11BAF" w:rsidRPr="00821DEC" w:rsidRDefault="00E11BAF" w:rsidP="00E11BAF">
            <w:pPr>
              <w:pStyle w:val="Topic"/>
              <w:contextualSpacing w:val="0"/>
              <w:rPr>
                <w:color w:val="000000" w:themeColor="text1"/>
                <w:lang w:val="fr-CA"/>
              </w:rPr>
            </w:pPr>
            <w:r w:rsidRPr="00821DEC">
              <w:rPr>
                <w:color w:val="000000" w:themeColor="text1"/>
                <w:szCs w:val="20"/>
                <w:lang w:val="fr-CA"/>
              </w:rPr>
              <w:t>Appliquer et innover</w:t>
            </w:r>
          </w:p>
          <w:p w14:paraId="665A8E53" w14:textId="77777777" w:rsidR="00821DEC" w:rsidRPr="00821DEC" w:rsidRDefault="00821DEC" w:rsidP="00821DEC">
            <w:pPr>
              <w:pStyle w:val="ListParagraph"/>
              <w:rPr>
                <w:lang w:val="fr-CA"/>
              </w:rPr>
            </w:pPr>
            <w:r w:rsidRPr="00821DEC">
              <w:rPr>
                <w:lang w:val="fr-CA"/>
              </w:rPr>
              <w:t>Contribuer au bien-être des membres de la communauté, à celui de la collectivité et de la planète, ainsi qu’à son propre bien-être, en faisant appel à des méthodes individuelles ou des approches axées sur la collaboration</w:t>
            </w:r>
          </w:p>
          <w:p w14:paraId="3B12E7B6" w14:textId="77777777" w:rsidR="00821DEC" w:rsidRPr="00821DEC" w:rsidRDefault="00821DEC" w:rsidP="00821DEC">
            <w:pPr>
              <w:pStyle w:val="ListParagraph"/>
              <w:rPr>
                <w:lang w:val="fr-CA"/>
              </w:rPr>
            </w:pPr>
            <w:r w:rsidRPr="00821DEC">
              <w:rPr>
                <w:lang w:val="fr-CA"/>
              </w:rPr>
              <w:t>Transférer l’apprentissage et le mettre en pratique dans de nouvelles situations</w:t>
            </w:r>
          </w:p>
          <w:p w14:paraId="5F4FF7A0" w14:textId="77777777" w:rsidR="00821DEC" w:rsidRPr="00821DEC" w:rsidRDefault="00821DEC" w:rsidP="00821DEC">
            <w:pPr>
              <w:pStyle w:val="ListParagraph"/>
              <w:rPr>
                <w:lang w:val="fr-CA"/>
              </w:rPr>
            </w:pPr>
            <w:r w:rsidRPr="00821DEC">
              <w:rPr>
                <w:lang w:val="fr-CA"/>
              </w:rPr>
              <w:t>Générer et présenter des idées nouvelles ou perfectionnées dans le cadre d’une résolution de problèmes</w:t>
            </w:r>
          </w:p>
          <w:p w14:paraId="19DB8C0B" w14:textId="77777777" w:rsidR="00821DEC" w:rsidRPr="00821DEC" w:rsidRDefault="00821DEC" w:rsidP="00821DEC">
            <w:pPr>
              <w:pStyle w:val="ListParagraph"/>
              <w:rPr>
                <w:lang w:val="fr-CA"/>
              </w:rPr>
            </w:pPr>
            <w:r w:rsidRPr="00821DEC">
              <w:rPr>
                <w:lang w:val="fr-CA"/>
              </w:rPr>
              <w:t>Contribuer, par la recherche, à trouver des solutions à des problèmes locaux ou mondiaux</w:t>
            </w:r>
          </w:p>
          <w:p w14:paraId="28F3DB3E" w14:textId="16985073" w:rsidR="00D96986" w:rsidRPr="00821DEC" w:rsidRDefault="00821DEC" w:rsidP="00821DEC">
            <w:pPr>
              <w:pStyle w:val="ListParagraph"/>
              <w:rPr>
                <w:lang w:val="fr-CA"/>
              </w:rPr>
            </w:pPr>
            <w:r w:rsidRPr="00821DEC">
              <w:rPr>
                <w:lang w:val="fr-CA"/>
              </w:rPr>
              <w:t>Réfléchir à l’apport des scientifiques en matière d’innovation</w:t>
            </w:r>
          </w:p>
          <w:p w14:paraId="2E2E9851" w14:textId="18BD56A3" w:rsidR="00D96986" w:rsidRPr="00821DEC" w:rsidRDefault="00E11BAF" w:rsidP="00D96986">
            <w:pPr>
              <w:pStyle w:val="Topic"/>
              <w:contextualSpacing w:val="0"/>
              <w:rPr>
                <w:color w:val="000000" w:themeColor="text1"/>
                <w:lang w:val="fr-CA"/>
              </w:rPr>
            </w:pPr>
            <w:r w:rsidRPr="00821DEC">
              <w:rPr>
                <w:rFonts w:cs="Arial"/>
                <w:color w:val="000000" w:themeColor="text1"/>
                <w:szCs w:val="20"/>
                <w:lang w:val="fr-CA"/>
              </w:rPr>
              <w:t>Communiquer</w:t>
            </w:r>
          </w:p>
          <w:p w14:paraId="63F6F1A1" w14:textId="77777777" w:rsidR="00821DEC" w:rsidRPr="00821DEC" w:rsidRDefault="00821DEC" w:rsidP="00821DEC">
            <w:pPr>
              <w:pStyle w:val="ListParagraph"/>
              <w:rPr>
                <w:lang w:val="fr-CA"/>
              </w:rPr>
            </w:pPr>
            <w:r w:rsidRPr="00821DEC">
              <w:rPr>
                <w:lang w:val="fr-CA"/>
              </w:rPr>
              <w:t>Élaborer des modèles concrets ou théoriques pour décrire un phénomène</w:t>
            </w:r>
          </w:p>
          <w:p w14:paraId="13A0A467" w14:textId="2A869C6C" w:rsidR="00821DEC" w:rsidRPr="00821DEC" w:rsidRDefault="00821DEC" w:rsidP="00821DEC">
            <w:pPr>
              <w:pStyle w:val="ListParagraph"/>
              <w:rPr>
                <w:rFonts w:cs="Calibri"/>
                <w:lang w:val="fr-CA"/>
              </w:rPr>
            </w:pPr>
            <w:r w:rsidRPr="00821DEC">
              <w:rPr>
                <w:lang w:val="fr-CA"/>
              </w:rPr>
              <w:t xml:space="preserve">Communiquer des idées scientifiques, des affirmations, de l’information, </w:t>
            </w:r>
            <w:r w:rsidR="00EA464E">
              <w:rPr>
                <w:lang w:val="fr-CA"/>
              </w:rPr>
              <w:br/>
            </w:r>
            <w:r w:rsidRPr="00821DEC">
              <w:rPr>
                <w:lang w:val="fr-CA"/>
              </w:rPr>
              <w:t>et peut-être suggérer un plan d’action pour un objectif et un auditoire précis, en développant des arguments fondés sur des faits et en employant des conventions, des représentations et un langage scientifiques adéquats</w:t>
            </w:r>
          </w:p>
          <w:p w14:paraId="4C08DDAB" w14:textId="092BA0FF" w:rsidR="00D96986" w:rsidRPr="00821DEC" w:rsidRDefault="00821DEC" w:rsidP="00821DEC">
            <w:pPr>
              <w:pStyle w:val="ListParagraph"/>
              <w:spacing w:after="120"/>
              <w:rPr>
                <w:lang w:val="fr-CA"/>
              </w:rPr>
            </w:pPr>
            <w:r w:rsidRPr="00821DEC">
              <w:rPr>
                <w:lang w:val="fr-CA"/>
              </w:rPr>
              <w:t xml:space="preserve">Exprimer et approfondir une variété d’expériences, de perspectives </w:t>
            </w:r>
            <w:r w:rsidR="00EA464E">
              <w:rPr>
                <w:lang w:val="fr-CA"/>
              </w:rPr>
              <w:br/>
            </w:r>
            <w:r w:rsidRPr="00821DEC">
              <w:rPr>
                <w:lang w:val="fr-CA"/>
              </w:rPr>
              <w:t xml:space="preserve">et d’interprétations du monde par rapport au </w:t>
            </w:r>
            <w:r w:rsidRPr="00821DEC">
              <w:rPr>
                <w:b/>
                <w:lang w:val="fr-CA"/>
              </w:rPr>
              <w:t>« lieu »</w:t>
            </w:r>
          </w:p>
        </w:tc>
        <w:tc>
          <w:tcPr>
            <w:tcW w:w="2333" w:type="pct"/>
            <w:tcBorders>
              <w:top w:val="single" w:sz="2" w:space="0" w:color="auto"/>
              <w:left w:val="single" w:sz="2" w:space="0" w:color="auto"/>
              <w:bottom w:val="single" w:sz="2" w:space="0" w:color="auto"/>
              <w:right w:val="single" w:sz="2" w:space="0" w:color="auto"/>
            </w:tcBorders>
            <w:shd w:val="clear" w:color="auto" w:fill="auto"/>
          </w:tcPr>
          <w:p w14:paraId="0B2CD758" w14:textId="77777777" w:rsidR="00D96986" w:rsidRPr="00C40C1D" w:rsidRDefault="00D96986" w:rsidP="007F45F2">
            <w:pPr>
              <w:rPr>
                <w:lang w:val="fr-CA"/>
              </w:rPr>
            </w:pPr>
          </w:p>
        </w:tc>
      </w:tr>
    </w:tbl>
    <w:p w14:paraId="1DF78005" w14:textId="77777777" w:rsidR="00400F30" w:rsidRPr="00C40C1D" w:rsidRDefault="00400F30" w:rsidP="00B206D3">
      <w:pPr>
        <w:rPr>
          <w:sz w:val="16"/>
          <w:lang w:val="fr-CA"/>
        </w:rPr>
      </w:pPr>
    </w:p>
    <w:p w14:paraId="3AF70AD2" w14:textId="77777777" w:rsidR="00400F30" w:rsidRPr="00C40C1D" w:rsidRDefault="00400F30" w:rsidP="00B206D3">
      <w:pPr>
        <w:rPr>
          <w:sz w:val="16"/>
          <w:lang w:val="fr-CA"/>
        </w:rPr>
      </w:pPr>
    </w:p>
    <w:p w14:paraId="70EA0D90" w14:textId="77777777" w:rsidR="00B206D3" w:rsidRPr="00C40C1D" w:rsidRDefault="00B206D3" w:rsidP="00B206D3">
      <w:pPr>
        <w:rPr>
          <w:sz w:val="16"/>
          <w:lang w:val="fr-CA"/>
        </w:rPr>
      </w:pPr>
    </w:p>
    <w:p w14:paraId="5E174F16" w14:textId="77777777" w:rsidR="00B206D3" w:rsidRPr="00C40C1D" w:rsidRDefault="00B206D3" w:rsidP="00B206D3">
      <w:pPr>
        <w:rPr>
          <w:sz w:val="16"/>
          <w:lang w:val="fr-CA"/>
        </w:rPr>
      </w:pPr>
      <w:bookmarkStart w:id="1" w:name="_GoBack"/>
      <w:bookmarkEnd w:id="1"/>
    </w:p>
    <w:sectPr w:rsidR="00B206D3" w:rsidRPr="00C40C1D"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altName w:val="Times New Roman"/>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Helvetica Oblique">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0B0B87E" w:rsidR="00FE1345" w:rsidRPr="00C40C1D" w:rsidRDefault="00E11BAF"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C40C1D">
      <w:rPr>
        <w:rFonts w:ascii="Helvetica" w:hAnsi="Helvetica"/>
        <w:i/>
        <w:sz w:val="20"/>
        <w:lang w:val="fr-CA"/>
      </w:rPr>
      <w:t>Mars</w:t>
    </w:r>
    <w:r w:rsidR="00FE1345" w:rsidRPr="00C40C1D">
      <w:rPr>
        <w:rFonts w:ascii="Helvetica" w:hAnsi="Helvetica"/>
        <w:i/>
        <w:sz w:val="20"/>
        <w:lang w:val="fr-CA"/>
      </w:rPr>
      <w:t xml:space="preserve"> 201</w:t>
    </w:r>
    <w:r w:rsidR="00A230A6" w:rsidRPr="00C40C1D">
      <w:rPr>
        <w:rFonts w:ascii="Helvetica" w:hAnsi="Helvetica"/>
        <w:i/>
        <w:sz w:val="20"/>
        <w:lang w:val="fr-CA"/>
      </w:rPr>
      <w:t>8</w:t>
    </w:r>
    <w:r w:rsidR="00FE1345" w:rsidRPr="00C40C1D">
      <w:rPr>
        <w:rFonts w:ascii="Helvetica" w:hAnsi="Helvetica"/>
        <w:i/>
        <w:sz w:val="20"/>
        <w:lang w:val="fr-CA"/>
      </w:rPr>
      <w:tab/>
    </w:r>
    <w:r w:rsidR="00FE1345" w:rsidRPr="00C40C1D">
      <w:rPr>
        <w:rStyle w:val="PageNumber"/>
        <w:rFonts w:ascii="Helvetica" w:hAnsi="Helvetica"/>
        <w:sz w:val="20"/>
        <w:lang w:val="fr-CA"/>
      </w:rPr>
      <w:t>www.curriculum.gov.bc.ca</w:t>
    </w:r>
    <w:r w:rsidR="00FE1345" w:rsidRPr="00C40C1D">
      <w:rPr>
        <w:rFonts w:ascii="Helvetica" w:hAnsi="Helvetica"/>
        <w:i/>
        <w:sz w:val="20"/>
        <w:lang w:val="fr-CA"/>
      </w:rPr>
      <w:tab/>
      <w:t xml:space="preserve">© Province </w:t>
    </w:r>
    <w:r w:rsidR="00C40C1D" w:rsidRPr="00C40C1D">
      <w:rPr>
        <w:rFonts w:ascii="Helvetica" w:hAnsi="Helvetica"/>
        <w:i/>
        <w:sz w:val="20"/>
        <w:lang w:val="fr-CA"/>
      </w:rPr>
      <w:t>de la</w:t>
    </w:r>
    <w:r w:rsidR="00FE1345" w:rsidRPr="00C40C1D">
      <w:rPr>
        <w:rFonts w:ascii="Helvetica" w:hAnsi="Helvetica"/>
        <w:i/>
        <w:sz w:val="20"/>
        <w:lang w:val="fr-CA"/>
      </w:rPr>
      <w:t xml:space="preserve"> </w:t>
    </w:r>
    <w:r w:rsidR="00C40C1D" w:rsidRPr="00C40C1D">
      <w:rPr>
        <w:rFonts w:ascii="Helvetica" w:hAnsi="Helvetica"/>
        <w:i/>
        <w:sz w:val="20"/>
        <w:lang w:val="fr-CA"/>
      </w:rPr>
      <w:t>Colombie-Britannique</w:t>
    </w:r>
    <w:r w:rsidR="00FE1345" w:rsidRPr="00C40C1D">
      <w:rPr>
        <w:rFonts w:ascii="Helvetica" w:hAnsi="Helvetica"/>
        <w:i/>
        <w:sz w:val="20"/>
        <w:lang w:val="fr-CA"/>
      </w:rPr>
      <w:tab/>
      <w:t>•</w:t>
    </w:r>
    <w:r w:rsidR="00FE1345" w:rsidRPr="00C40C1D">
      <w:rPr>
        <w:rFonts w:ascii="Helvetica" w:hAnsi="Helvetica"/>
        <w:i/>
        <w:sz w:val="20"/>
        <w:lang w:val="fr-CA"/>
      </w:rPr>
      <w:tab/>
    </w:r>
    <w:r w:rsidR="00FE1345" w:rsidRPr="00C40C1D">
      <w:rPr>
        <w:rStyle w:val="PageNumber"/>
        <w:rFonts w:ascii="Helvetica" w:hAnsi="Helvetica"/>
        <w:i/>
        <w:sz w:val="20"/>
        <w:lang w:val="fr-CA"/>
      </w:rPr>
      <w:fldChar w:fldCharType="begin"/>
    </w:r>
    <w:r w:rsidR="00FE1345" w:rsidRPr="00C40C1D">
      <w:rPr>
        <w:rStyle w:val="PageNumber"/>
        <w:rFonts w:ascii="Helvetica" w:hAnsi="Helvetica"/>
        <w:i/>
        <w:sz w:val="20"/>
        <w:lang w:val="fr-CA"/>
      </w:rPr>
      <w:instrText xml:space="preserve"> PAGE </w:instrText>
    </w:r>
    <w:r w:rsidR="00FE1345" w:rsidRPr="00C40C1D">
      <w:rPr>
        <w:rStyle w:val="PageNumber"/>
        <w:rFonts w:ascii="Helvetica" w:hAnsi="Helvetica"/>
        <w:i/>
        <w:sz w:val="20"/>
        <w:lang w:val="fr-CA"/>
      </w:rPr>
      <w:fldChar w:fldCharType="separate"/>
    </w:r>
    <w:r w:rsidR="008437D2">
      <w:rPr>
        <w:rStyle w:val="PageNumber"/>
        <w:rFonts w:ascii="Helvetica" w:hAnsi="Helvetica"/>
        <w:i/>
        <w:noProof/>
        <w:sz w:val="20"/>
        <w:lang w:val="fr-CA"/>
      </w:rPr>
      <w:t>2</w:t>
    </w:r>
    <w:r w:rsidR="00FE1345"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A571D2"/>
    <w:multiLevelType w:val="multilevel"/>
    <w:tmpl w:val="85800C44"/>
    <w:lvl w:ilvl="0">
      <w:start w:val="1"/>
      <w:numFmt w:val="bullet"/>
      <w:lvlText w:val="o"/>
      <w:lvlJc w:val="left"/>
      <w:pPr>
        <w:ind w:left="360" w:hanging="360"/>
      </w:pPr>
      <w:rPr>
        <w:rFonts w:ascii="Courier New" w:hAnsi="Courier New" w:cs="Courier New" w:hint="default"/>
      </w:rPr>
    </w:lvl>
    <w:lvl w:ilvl="1">
      <w:numFmt w:val="bullet"/>
      <w:lvlText w:val="-"/>
      <w:lvlJc w:val="left"/>
      <w:pPr>
        <w:ind w:left="1080" w:hanging="360"/>
      </w:pPr>
      <w:rPr>
        <w:rFonts w:ascii="Calibri" w:eastAsia="Times New Roman" w:hAnsi="Calibri" w:cs="Times New Roman" w:hint="default"/>
        <w:color w:val="0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FDA1683"/>
    <w:multiLevelType w:val="hybridMultilevel"/>
    <w:tmpl w:val="9ACC0050"/>
    <w:lvl w:ilvl="0" w:tplc="10090003">
      <w:start w:val="1"/>
      <w:numFmt w:val="bullet"/>
      <w:lvlText w:val="o"/>
      <w:lvlJc w:val="left"/>
      <w:pPr>
        <w:ind w:left="1080" w:hanging="360"/>
      </w:pPr>
      <w:rPr>
        <w:rFonts w:ascii="Courier New" w:hAnsi="Courier New" w:cs="Courier New" w:hint="default"/>
      </w:rPr>
    </w:lvl>
    <w:lvl w:ilvl="1" w:tplc="00031009">
      <w:start w:val="1"/>
      <w:numFmt w:val="bullet"/>
      <w:lvlText w:val="o"/>
      <w:lvlJc w:val="left"/>
      <w:pPr>
        <w:ind w:left="1026" w:hanging="360"/>
      </w:pPr>
      <w:rPr>
        <w:rFonts w:ascii="Courier New" w:hAnsi="Courier New" w:cs="Times New Roman" w:hint="default"/>
      </w:rPr>
    </w:lvl>
    <w:lvl w:ilvl="2" w:tplc="00051009">
      <w:start w:val="1"/>
      <w:numFmt w:val="bullet"/>
      <w:lvlText w:val=""/>
      <w:lvlJc w:val="left"/>
      <w:pPr>
        <w:ind w:left="1746" w:hanging="360"/>
      </w:pPr>
      <w:rPr>
        <w:rFonts w:ascii="Wingdings" w:hAnsi="Wingdings" w:hint="default"/>
      </w:rPr>
    </w:lvl>
    <w:lvl w:ilvl="3" w:tplc="00011009">
      <w:start w:val="1"/>
      <w:numFmt w:val="bullet"/>
      <w:lvlText w:val=""/>
      <w:lvlJc w:val="left"/>
      <w:pPr>
        <w:ind w:left="2466" w:hanging="360"/>
      </w:pPr>
      <w:rPr>
        <w:rFonts w:ascii="Symbol" w:hAnsi="Symbol" w:hint="default"/>
      </w:rPr>
    </w:lvl>
    <w:lvl w:ilvl="4" w:tplc="00031009">
      <w:start w:val="1"/>
      <w:numFmt w:val="bullet"/>
      <w:lvlText w:val="o"/>
      <w:lvlJc w:val="left"/>
      <w:pPr>
        <w:ind w:left="3186" w:hanging="360"/>
      </w:pPr>
      <w:rPr>
        <w:rFonts w:ascii="Courier New" w:hAnsi="Courier New" w:cs="Times New Roman" w:hint="default"/>
      </w:rPr>
    </w:lvl>
    <w:lvl w:ilvl="5" w:tplc="00051009">
      <w:start w:val="1"/>
      <w:numFmt w:val="bullet"/>
      <w:lvlText w:val=""/>
      <w:lvlJc w:val="left"/>
      <w:pPr>
        <w:ind w:left="3906" w:hanging="360"/>
      </w:pPr>
      <w:rPr>
        <w:rFonts w:ascii="Wingdings" w:hAnsi="Wingdings" w:hint="default"/>
      </w:rPr>
    </w:lvl>
    <w:lvl w:ilvl="6" w:tplc="00011009">
      <w:start w:val="1"/>
      <w:numFmt w:val="bullet"/>
      <w:lvlText w:val=""/>
      <w:lvlJc w:val="left"/>
      <w:pPr>
        <w:ind w:left="4626" w:hanging="360"/>
      </w:pPr>
      <w:rPr>
        <w:rFonts w:ascii="Symbol" w:hAnsi="Symbol" w:hint="default"/>
      </w:rPr>
    </w:lvl>
    <w:lvl w:ilvl="7" w:tplc="00031009">
      <w:start w:val="1"/>
      <w:numFmt w:val="bullet"/>
      <w:lvlText w:val="o"/>
      <w:lvlJc w:val="left"/>
      <w:pPr>
        <w:ind w:left="5346" w:hanging="360"/>
      </w:pPr>
      <w:rPr>
        <w:rFonts w:ascii="Courier New" w:hAnsi="Courier New" w:cs="Times New Roman" w:hint="default"/>
      </w:rPr>
    </w:lvl>
    <w:lvl w:ilvl="8" w:tplc="00051009">
      <w:start w:val="1"/>
      <w:numFmt w:val="bullet"/>
      <w:lvlText w:val=""/>
      <w:lvlJc w:val="left"/>
      <w:pPr>
        <w:ind w:left="6066" w:hanging="360"/>
      </w:pPr>
      <w:rPr>
        <w:rFonts w:ascii="Wingdings" w:hAnsi="Wingdings" w:hint="default"/>
      </w:rPr>
    </w:lvl>
  </w:abstractNum>
  <w:abstractNum w:abstractNumId="6">
    <w:nsid w:val="21405208"/>
    <w:multiLevelType w:val="hybridMultilevel"/>
    <w:tmpl w:val="B404B0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31511E8A"/>
    <w:multiLevelType w:val="hybridMultilevel"/>
    <w:tmpl w:val="B57846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1816DFA"/>
    <w:multiLevelType w:val="hybridMultilevel"/>
    <w:tmpl w:val="DBDAD77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418E234F"/>
    <w:multiLevelType w:val="hybridMultilevel"/>
    <w:tmpl w:val="F40AB632"/>
    <w:lvl w:ilvl="0" w:tplc="10090001">
      <w:start w:val="1"/>
      <w:numFmt w:val="bullet"/>
      <w:lvlText w:val=""/>
      <w:lvlJc w:val="left"/>
      <w:pPr>
        <w:ind w:left="1494" w:hanging="360"/>
      </w:pPr>
      <w:rPr>
        <w:rFonts w:ascii="Symbol" w:hAnsi="Symbol" w:hint="default"/>
      </w:rPr>
    </w:lvl>
    <w:lvl w:ilvl="1" w:tplc="00031009">
      <w:start w:val="1"/>
      <w:numFmt w:val="bullet"/>
      <w:lvlText w:val="o"/>
      <w:lvlJc w:val="left"/>
      <w:pPr>
        <w:ind w:left="1440" w:hanging="360"/>
      </w:pPr>
      <w:rPr>
        <w:rFonts w:ascii="Courier New" w:hAnsi="Courier New" w:cs="Times New Roman" w:hint="default"/>
      </w:rPr>
    </w:lvl>
    <w:lvl w:ilvl="2" w:tplc="00051009">
      <w:start w:val="1"/>
      <w:numFmt w:val="bullet"/>
      <w:lvlText w:val=""/>
      <w:lvlJc w:val="left"/>
      <w:pPr>
        <w:ind w:left="2160" w:hanging="360"/>
      </w:pPr>
      <w:rPr>
        <w:rFonts w:ascii="Wingdings" w:hAnsi="Wingdings" w:hint="default"/>
      </w:rPr>
    </w:lvl>
    <w:lvl w:ilvl="3" w:tplc="00011009">
      <w:start w:val="1"/>
      <w:numFmt w:val="bullet"/>
      <w:lvlText w:val=""/>
      <w:lvlJc w:val="left"/>
      <w:pPr>
        <w:ind w:left="2880" w:hanging="360"/>
      </w:pPr>
      <w:rPr>
        <w:rFonts w:ascii="Symbol" w:hAnsi="Symbol" w:hint="default"/>
      </w:rPr>
    </w:lvl>
    <w:lvl w:ilvl="4" w:tplc="00031009">
      <w:start w:val="1"/>
      <w:numFmt w:val="bullet"/>
      <w:lvlText w:val="o"/>
      <w:lvlJc w:val="left"/>
      <w:pPr>
        <w:ind w:left="3600" w:hanging="360"/>
      </w:pPr>
      <w:rPr>
        <w:rFonts w:ascii="Courier New" w:hAnsi="Courier New" w:cs="Times New Roman" w:hint="default"/>
      </w:rPr>
    </w:lvl>
    <w:lvl w:ilvl="5" w:tplc="00051009">
      <w:start w:val="1"/>
      <w:numFmt w:val="bullet"/>
      <w:lvlText w:val=""/>
      <w:lvlJc w:val="left"/>
      <w:pPr>
        <w:ind w:left="4320" w:hanging="360"/>
      </w:pPr>
      <w:rPr>
        <w:rFonts w:ascii="Wingdings" w:hAnsi="Wingdings" w:hint="default"/>
      </w:rPr>
    </w:lvl>
    <w:lvl w:ilvl="6" w:tplc="00011009">
      <w:start w:val="1"/>
      <w:numFmt w:val="bullet"/>
      <w:lvlText w:val=""/>
      <w:lvlJc w:val="left"/>
      <w:pPr>
        <w:ind w:left="5040" w:hanging="360"/>
      </w:pPr>
      <w:rPr>
        <w:rFonts w:ascii="Symbol" w:hAnsi="Symbol" w:hint="default"/>
      </w:rPr>
    </w:lvl>
    <w:lvl w:ilvl="7" w:tplc="00031009">
      <w:start w:val="1"/>
      <w:numFmt w:val="bullet"/>
      <w:lvlText w:val="o"/>
      <w:lvlJc w:val="left"/>
      <w:pPr>
        <w:ind w:left="5760" w:hanging="360"/>
      </w:pPr>
      <w:rPr>
        <w:rFonts w:ascii="Courier New" w:hAnsi="Courier New" w:cs="Times New Roman" w:hint="default"/>
      </w:rPr>
    </w:lvl>
    <w:lvl w:ilvl="8" w:tplc="00051009">
      <w:start w:val="1"/>
      <w:numFmt w:val="bullet"/>
      <w:lvlText w:val=""/>
      <w:lvlJc w:val="left"/>
      <w:pPr>
        <w:ind w:left="6480" w:hanging="360"/>
      </w:pPr>
      <w:rPr>
        <w:rFonts w:ascii="Wingdings" w:hAnsi="Wingdings" w:hint="default"/>
      </w:rPr>
    </w:lvl>
  </w:abstractNum>
  <w:abstractNum w:abstractNumId="10">
    <w:nsid w:val="4D4D5852"/>
    <w:multiLevelType w:val="hybridMultilevel"/>
    <w:tmpl w:val="29E0BC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473079C"/>
    <w:multiLevelType w:val="hybridMultilevel"/>
    <w:tmpl w:val="997804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2">
    <w:nsid w:val="5A8F592F"/>
    <w:multiLevelType w:val="hybridMultilevel"/>
    <w:tmpl w:val="6F544F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4"/>
  </w:num>
  <w:num w:numId="2">
    <w:abstractNumId w:val="3"/>
  </w:num>
  <w:num w:numId="3">
    <w:abstractNumId w:val="13"/>
  </w:num>
  <w:num w:numId="4">
    <w:abstractNumId w:val="1"/>
  </w:num>
  <w:num w:numId="5">
    <w:abstractNumId w:val="14"/>
  </w:num>
  <w:num w:numId="6">
    <w:abstractNumId w:val="0"/>
  </w:num>
  <w:num w:numId="7">
    <w:abstractNumId w:val="1"/>
  </w:num>
  <w:num w:numId="8">
    <w:abstractNumId w:val="1"/>
  </w:num>
  <w:num w:numId="9">
    <w:abstractNumId w:val="1"/>
  </w:num>
  <w:num w:numId="10">
    <w:abstractNumId w:val="11"/>
  </w:num>
  <w:num w:numId="11">
    <w:abstractNumId w:val="4"/>
  </w:num>
  <w:num w:numId="12">
    <w:abstractNumId w:val="4"/>
  </w:num>
  <w:num w:numId="13">
    <w:abstractNumId w:val="4"/>
  </w:num>
  <w:num w:numId="14">
    <w:abstractNumId w:val="4"/>
  </w:num>
  <w:num w:numId="15">
    <w:abstractNumId w:val="10"/>
  </w:num>
  <w:num w:numId="16">
    <w:abstractNumId w:val="9"/>
  </w:num>
  <w:num w:numId="17">
    <w:abstractNumId w:val="6"/>
  </w:num>
  <w:num w:numId="18">
    <w:abstractNumId w:val="8"/>
  </w:num>
  <w:num w:numId="19">
    <w:abstractNumId w:val="7"/>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2"/>
  </w:num>
  <w:num w:numId="44">
    <w:abstractNumId w:val="5"/>
  </w:num>
  <w:num w:numId="4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138E3"/>
    <w:rsid w:val="00035A4F"/>
    <w:rsid w:val="00065AC2"/>
    <w:rsid w:val="00070C03"/>
    <w:rsid w:val="00075A01"/>
    <w:rsid w:val="00075F95"/>
    <w:rsid w:val="000A311F"/>
    <w:rsid w:val="000A3FAA"/>
    <w:rsid w:val="000B2381"/>
    <w:rsid w:val="000E555C"/>
    <w:rsid w:val="00123905"/>
    <w:rsid w:val="0014420D"/>
    <w:rsid w:val="001444ED"/>
    <w:rsid w:val="00171DAF"/>
    <w:rsid w:val="0017582D"/>
    <w:rsid w:val="001765C4"/>
    <w:rsid w:val="0018557D"/>
    <w:rsid w:val="00187671"/>
    <w:rsid w:val="00191B6D"/>
    <w:rsid w:val="001A27CA"/>
    <w:rsid w:val="001B1DBF"/>
    <w:rsid w:val="001B28CB"/>
    <w:rsid w:val="001B2DC1"/>
    <w:rsid w:val="001C1677"/>
    <w:rsid w:val="001D4E97"/>
    <w:rsid w:val="001E063D"/>
    <w:rsid w:val="001E7EC9"/>
    <w:rsid w:val="001F2C2F"/>
    <w:rsid w:val="002215C5"/>
    <w:rsid w:val="00226DA9"/>
    <w:rsid w:val="002316A6"/>
    <w:rsid w:val="00235F25"/>
    <w:rsid w:val="00287CDA"/>
    <w:rsid w:val="002967B0"/>
    <w:rsid w:val="002C42CD"/>
    <w:rsid w:val="002D3076"/>
    <w:rsid w:val="002E3C1B"/>
    <w:rsid w:val="002E55AA"/>
    <w:rsid w:val="00315439"/>
    <w:rsid w:val="00364762"/>
    <w:rsid w:val="00391687"/>
    <w:rsid w:val="003925B2"/>
    <w:rsid w:val="003A3345"/>
    <w:rsid w:val="003D12ED"/>
    <w:rsid w:val="003E3E64"/>
    <w:rsid w:val="003F1DB7"/>
    <w:rsid w:val="003F6E58"/>
    <w:rsid w:val="00400F30"/>
    <w:rsid w:val="00413BC2"/>
    <w:rsid w:val="00447D8B"/>
    <w:rsid w:val="00456D83"/>
    <w:rsid w:val="00457103"/>
    <w:rsid w:val="00482426"/>
    <w:rsid w:val="00483E58"/>
    <w:rsid w:val="004B7B36"/>
    <w:rsid w:val="004C3D15"/>
    <w:rsid w:val="004C42DE"/>
    <w:rsid w:val="004C42F8"/>
    <w:rsid w:val="004C677A"/>
    <w:rsid w:val="004D4F1C"/>
    <w:rsid w:val="004D7F83"/>
    <w:rsid w:val="004E0819"/>
    <w:rsid w:val="004F2F73"/>
    <w:rsid w:val="005318CB"/>
    <w:rsid w:val="00546F47"/>
    <w:rsid w:val="00555BC8"/>
    <w:rsid w:val="0056669F"/>
    <w:rsid w:val="00567385"/>
    <w:rsid w:val="0059376F"/>
    <w:rsid w:val="005A2812"/>
    <w:rsid w:val="005C0C77"/>
    <w:rsid w:val="005C787D"/>
    <w:rsid w:val="005D2B45"/>
    <w:rsid w:val="005E0FCC"/>
    <w:rsid w:val="005F4985"/>
    <w:rsid w:val="00607C26"/>
    <w:rsid w:val="00620D38"/>
    <w:rsid w:val="006211F9"/>
    <w:rsid w:val="0065155B"/>
    <w:rsid w:val="0065190D"/>
    <w:rsid w:val="00670E49"/>
    <w:rsid w:val="00677D48"/>
    <w:rsid w:val="00685BC9"/>
    <w:rsid w:val="006A57B0"/>
    <w:rsid w:val="006C1F70"/>
    <w:rsid w:val="006C583A"/>
    <w:rsid w:val="006D4304"/>
    <w:rsid w:val="006E3C51"/>
    <w:rsid w:val="00702F68"/>
    <w:rsid w:val="0071516B"/>
    <w:rsid w:val="0072171C"/>
    <w:rsid w:val="00735FF4"/>
    <w:rsid w:val="00737D76"/>
    <w:rsid w:val="00741E53"/>
    <w:rsid w:val="007460EC"/>
    <w:rsid w:val="00770B0C"/>
    <w:rsid w:val="00784C9E"/>
    <w:rsid w:val="00786868"/>
    <w:rsid w:val="007904B5"/>
    <w:rsid w:val="00796ED0"/>
    <w:rsid w:val="007A2E04"/>
    <w:rsid w:val="007B49A4"/>
    <w:rsid w:val="007D6E60"/>
    <w:rsid w:val="007E2302"/>
    <w:rsid w:val="007E28EF"/>
    <w:rsid w:val="007F6181"/>
    <w:rsid w:val="007F7EC7"/>
    <w:rsid w:val="00821DEC"/>
    <w:rsid w:val="00837AFB"/>
    <w:rsid w:val="008437D2"/>
    <w:rsid w:val="00846D64"/>
    <w:rsid w:val="008543C7"/>
    <w:rsid w:val="00867273"/>
    <w:rsid w:val="00867B5D"/>
    <w:rsid w:val="008770BE"/>
    <w:rsid w:val="00882370"/>
    <w:rsid w:val="00884A1A"/>
    <w:rsid w:val="00895B83"/>
    <w:rsid w:val="008971BF"/>
    <w:rsid w:val="008C0693"/>
    <w:rsid w:val="008D5D46"/>
    <w:rsid w:val="008E3502"/>
    <w:rsid w:val="0093526D"/>
    <w:rsid w:val="00947691"/>
    <w:rsid w:val="009506CC"/>
    <w:rsid w:val="00957392"/>
    <w:rsid w:val="00961AB5"/>
    <w:rsid w:val="00964DFE"/>
    <w:rsid w:val="00974E4B"/>
    <w:rsid w:val="009805D3"/>
    <w:rsid w:val="0098710C"/>
    <w:rsid w:val="00996CA8"/>
    <w:rsid w:val="009B0A15"/>
    <w:rsid w:val="009E4B98"/>
    <w:rsid w:val="009E6E14"/>
    <w:rsid w:val="009F4B7F"/>
    <w:rsid w:val="00A13FD8"/>
    <w:rsid w:val="00A230A6"/>
    <w:rsid w:val="00A2482D"/>
    <w:rsid w:val="00A26CE6"/>
    <w:rsid w:val="00A34E20"/>
    <w:rsid w:val="00A36E61"/>
    <w:rsid w:val="00A447FD"/>
    <w:rsid w:val="00A47A92"/>
    <w:rsid w:val="00A53362"/>
    <w:rsid w:val="00A76AC7"/>
    <w:rsid w:val="00A87F23"/>
    <w:rsid w:val="00A9052F"/>
    <w:rsid w:val="00AB2F24"/>
    <w:rsid w:val="00AB3E8E"/>
    <w:rsid w:val="00AE67D7"/>
    <w:rsid w:val="00AF4787"/>
    <w:rsid w:val="00AF70A4"/>
    <w:rsid w:val="00B0173E"/>
    <w:rsid w:val="00B12655"/>
    <w:rsid w:val="00B206D3"/>
    <w:rsid w:val="00B465B1"/>
    <w:rsid w:val="00B530F3"/>
    <w:rsid w:val="00B74147"/>
    <w:rsid w:val="00B91B5F"/>
    <w:rsid w:val="00B91D5E"/>
    <w:rsid w:val="00B978E0"/>
    <w:rsid w:val="00BA09E7"/>
    <w:rsid w:val="00BB67AA"/>
    <w:rsid w:val="00BC4A81"/>
    <w:rsid w:val="00BE4F1E"/>
    <w:rsid w:val="00BE6F65"/>
    <w:rsid w:val="00BF4079"/>
    <w:rsid w:val="00C03819"/>
    <w:rsid w:val="00C05FD5"/>
    <w:rsid w:val="00C21F16"/>
    <w:rsid w:val="00C23D53"/>
    <w:rsid w:val="00C25DFB"/>
    <w:rsid w:val="00C3058C"/>
    <w:rsid w:val="00C36E10"/>
    <w:rsid w:val="00C40C1D"/>
    <w:rsid w:val="00C446EE"/>
    <w:rsid w:val="00C56A8B"/>
    <w:rsid w:val="00C66CDF"/>
    <w:rsid w:val="00C67C6E"/>
    <w:rsid w:val="00C75D90"/>
    <w:rsid w:val="00C868AA"/>
    <w:rsid w:val="00C973D3"/>
    <w:rsid w:val="00CB222C"/>
    <w:rsid w:val="00CD6B06"/>
    <w:rsid w:val="00CF7F04"/>
    <w:rsid w:val="00D0261C"/>
    <w:rsid w:val="00D0439A"/>
    <w:rsid w:val="00D120A1"/>
    <w:rsid w:val="00D17CFE"/>
    <w:rsid w:val="00D311E5"/>
    <w:rsid w:val="00D41F6E"/>
    <w:rsid w:val="00D64299"/>
    <w:rsid w:val="00D735D9"/>
    <w:rsid w:val="00D8654A"/>
    <w:rsid w:val="00D96986"/>
    <w:rsid w:val="00DA79C0"/>
    <w:rsid w:val="00DC1DA5"/>
    <w:rsid w:val="00DC2C4B"/>
    <w:rsid w:val="00DD1C77"/>
    <w:rsid w:val="00DF04D1"/>
    <w:rsid w:val="00DF3B95"/>
    <w:rsid w:val="00E11BAF"/>
    <w:rsid w:val="00E13917"/>
    <w:rsid w:val="00E2444A"/>
    <w:rsid w:val="00E80591"/>
    <w:rsid w:val="00E834AB"/>
    <w:rsid w:val="00E842D8"/>
    <w:rsid w:val="00EA2024"/>
    <w:rsid w:val="00EA464E"/>
    <w:rsid w:val="00EA565D"/>
    <w:rsid w:val="00ED6CC1"/>
    <w:rsid w:val="00F03477"/>
    <w:rsid w:val="00F12B79"/>
    <w:rsid w:val="00F13207"/>
    <w:rsid w:val="00F57D07"/>
    <w:rsid w:val="00F77988"/>
    <w:rsid w:val="00F803DE"/>
    <w:rsid w:val="00F818F5"/>
    <w:rsid w:val="00F9586F"/>
    <w:rsid w:val="00F97A40"/>
    <w:rsid w:val="00FA19C2"/>
    <w:rsid w:val="00FA1EDA"/>
    <w:rsid w:val="00FA2BC6"/>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821DE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99"/>
    <w:locked/>
    <w:rsid w:val="00821DE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1A20-B795-7742-AC03-D560F26D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3</Pages>
  <Words>909</Words>
  <Characters>5186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6083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134</cp:revision>
  <cp:lastPrinted>2018-04-11T22:03:00Z</cp:lastPrinted>
  <dcterms:created xsi:type="dcterms:W3CDTF">2017-01-16T16:55:00Z</dcterms:created>
  <dcterms:modified xsi:type="dcterms:W3CDTF">2018-04-16T17:25:00Z</dcterms:modified>
</cp:coreProperties>
</file>