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2370E3E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 xml:space="preserve">Domaine d’apprentissage </w:t>
      </w:r>
      <w:r w:rsidRPr="005A1FA5">
        <w:rPr>
          <w:b/>
          <w:sz w:val="28"/>
        </w:rPr>
        <w:t xml:space="preserve">: </w:t>
      </w:r>
      <w:r w:rsidR="00731258">
        <w:rPr>
          <w:b/>
          <w:sz w:val="28"/>
        </w:rPr>
        <w:t>CORÉEN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560"/>
        <w:gridCol w:w="236"/>
        <w:gridCol w:w="2200"/>
        <w:gridCol w:w="236"/>
        <w:gridCol w:w="3160"/>
        <w:gridCol w:w="240"/>
        <w:gridCol w:w="3000"/>
      </w:tblGrid>
      <w:tr w:rsidR="009A2CC0" w:rsidRPr="005A1FA5" w14:paraId="290EE9D1" w14:textId="77777777" w:rsidTr="00607A4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54B20ED0" w:rsidR="009A2CC0" w:rsidRPr="005A1FA5" w:rsidRDefault="00607A4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L’écoute et le visionnement attentifs nous aident dans l</w:t>
            </w:r>
            <w:r w:rsidRPr="005F7E7C">
              <w:rPr>
                <w:rFonts w:cstheme="majorHAnsi"/>
                <w:szCs w:val="20"/>
              </w:rPr>
              <w:t>’</w:t>
            </w:r>
            <w:r w:rsidRPr="00767CF2">
              <w:rPr>
                <w:rFonts w:cstheme="majorHAnsi"/>
              </w:rPr>
              <w:t>acquisition d’une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0E997C99" w:rsidR="009A2CC0" w:rsidRPr="005A1FA5" w:rsidRDefault="00607A4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La langue et la culture sont intimement liées, et elles façonnent le point de vue, l’identité et la voix.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13F82923" w:rsidR="009A2CC0" w:rsidRPr="005A1FA5" w:rsidRDefault="00607A46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>Le contexte de communication détermine notre façon de nous exprimer.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42EB6ACD" w:rsidR="009A2CC0" w:rsidRPr="005A1FA5" w:rsidRDefault="00607A4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L’exploration de diverses </w:t>
            </w:r>
            <w:r w:rsidRPr="00767CF2">
              <w:rPr>
                <w:rFonts w:cstheme="majorHAnsi"/>
                <w:b/>
                <w:bCs/>
              </w:rPr>
              <w:t>formes d’expression culturelle</w:t>
            </w:r>
            <w:r w:rsidRPr="00767CF2">
              <w:rPr>
                <w:rFonts w:cstheme="majorHAnsi"/>
              </w:rPr>
              <w:t xml:space="preserve"> favorise une meilleure compréhension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de notre propre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5C126931" w:rsidR="009A2CC0" w:rsidRPr="005A1FA5" w:rsidRDefault="00607A4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 xml:space="preserve">La maîtrise d’une nouvelle langue offre des occasions en matière de carrière, de voyage, de croissance personnelle </w:t>
            </w:r>
            <w:r w:rsidR="000F2D05"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et d’études à l’étranger</w:t>
            </w:r>
            <w:r w:rsidRPr="005F7E7C">
              <w:rPr>
                <w:rFonts w:cstheme="majorHAnsi"/>
              </w:rPr>
              <w:t>.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8"/>
        <w:gridCol w:w="7156"/>
      </w:tblGrid>
      <w:tr w:rsidR="00B44924" w:rsidRPr="005A1FA5" w14:paraId="7C49560F" w14:textId="77777777" w:rsidTr="00B44924"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44924" w:rsidRPr="005A1FA5" w14:paraId="5149B766" w14:textId="77777777" w:rsidTr="00B44924"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3770DF3" w14:textId="5A146926" w:rsidR="00B44924" w:rsidRPr="008F5003" w:rsidRDefault="00B44924" w:rsidP="00B44924">
            <w:pPr>
              <w:pStyle w:val="ListParagraph"/>
            </w:pPr>
            <w:r w:rsidRPr="00767CF2">
              <w:t xml:space="preserve">Reconnaître comment </w:t>
            </w:r>
            <w:r w:rsidRPr="00767CF2">
              <w:rPr>
                <w:b/>
                <w:bCs/>
              </w:rPr>
              <w:t>différents mots</w:t>
            </w:r>
            <w:r w:rsidRPr="00767CF2">
              <w:t xml:space="preserve"> sont employés selon </w:t>
            </w:r>
            <w:r>
              <w:br/>
            </w:r>
            <w:r w:rsidRPr="00767CF2">
              <w:t>le public visé</w:t>
            </w:r>
          </w:p>
          <w:p w14:paraId="395F171E" w14:textId="5C12B67D" w:rsidR="00B44924" w:rsidRPr="008F5003" w:rsidRDefault="00B44924" w:rsidP="00B44924">
            <w:pPr>
              <w:pStyle w:val="ListParagraph"/>
            </w:pPr>
            <w:r w:rsidRPr="00767CF2">
              <w:t xml:space="preserve">Dégager le sens d’un discours d’une variété d’autres textes </w:t>
            </w:r>
            <w:r>
              <w:br/>
            </w:r>
            <w:r w:rsidRPr="00767CF2">
              <w:t xml:space="preserve">et de </w:t>
            </w:r>
            <w:r w:rsidRPr="00767CF2">
              <w:rPr>
                <w:b/>
                <w:bCs/>
              </w:rPr>
              <w:t>contextes</w:t>
            </w:r>
          </w:p>
          <w:p w14:paraId="1006ACD9" w14:textId="77777777" w:rsidR="00B44924" w:rsidRPr="008F5003" w:rsidRDefault="00B44924" w:rsidP="00B44924">
            <w:pPr>
              <w:pStyle w:val="ListParagraph"/>
            </w:pPr>
            <w:r w:rsidRPr="00767CF2">
              <w:t xml:space="preserve">Analyser les points de vue culturels dans les </w:t>
            </w:r>
            <w:r w:rsidRPr="00767CF2">
              <w:rPr>
                <w:b/>
                <w:bCs/>
              </w:rPr>
              <w:t>textes</w:t>
            </w:r>
          </w:p>
          <w:p w14:paraId="6B21B73A" w14:textId="54EFB186" w:rsidR="00B44924" w:rsidRPr="008F5003" w:rsidRDefault="00B44924" w:rsidP="00B44924">
            <w:pPr>
              <w:pStyle w:val="ListParagraph"/>
              <w:rPr>
                <w:b/>
              </w:rPr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>
              <w:br/>
            </w:r>
            <w:r w:rsidRPr="00767CF2">
              <w:t>et s’exprimer à l’oral et à l’écrit</w:t>
            </w:r>
          </w:p>
          <w:p w14:paraId="077F2755" w14:textId="77777777" w:rsidR="00B44924" w:rsidRPr="008F5003" w:rsidRDefault="00B44924" w:rsidP="00B44924">
            <w:pPr>
              <w:pStyle w:val="ListParagraph"/>
            </w:pPr>
            <w:r w:rsidRPr="00767CF2">
              <w:rPr>
                <w:b/>
                <w:bCs/>
              </w:rPr>
              <w:t xml:space="preserve">Raconter </w:t>
            </w:r>
            <w:r w:rsidRPr="00767CF2">
              <w:rPr>
                <w:bCs/>
              </w:rPr>
              <w:t>des</w:t>
            </w:r>
            <w:r w:rsidRPr="00767CF2">
              <w:rPr>
                <w:b/>
                <w:bCs/>
              </w:rPr>
              <w:t xml:space="preserve"> histoires</w:t>
            </w:r>
            <w:r w:rsidRPr="00767CF2">
              <w:t>, à l’oral et à l’écrit</w:t>
            </w:r>
          </w:p>
          <w:p w14:paraId="341493B7" w14:textId="77777777" w:rsidR="00B44924" w:rsidRPr="008F5003" w:rsidRDefault="00B44924" w:rsidP="00B44924">
            <w:pPr>
              <w:pStyle w:val="ListParagraph"/>
            </w:pPr>
            <w:bookmarkStart w:id="0" w:name="_GoBack"/>
            <w:r w:rsidRPr="001E37A2">
              <w:rPr>
                <w:bCs/>
              </w:rPr>
              <w:t>Réagir de manière personnelle</w:t>
            </w:r>
            <w:bookmarkEnd w:id="0"/>
            <w:r w:rsidRPr="00767CF2">
              <w:t xml:space="preserve"> à une variété de textes</w:t>
            </w:r>
          </w:p>
          <w:p w14:paraId="147390ED" w14:textId="77777777" w:rsidR="00B44924" w:rsidRPr="008F5003" w:rsidRDefault="00B44924" w:rsidP="00B44924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des informations, à l’oral et à l’écrit</w:t>
            </w:r>
          </w:p>
          <w:p w14:paraId="308B857A" w14:textId="77777777" w:rsidR="00B44924" w:rsidRPr="008F5003" w:rsidRDefault="00B44924" w:rsidP="00B44924">
            <w:pPr>
              <w:pStyle w:val="ListParagraph"/>
            </w:pPr>
            <w:r w:rsidRPr="00767CF2">
              <w:t>S’exprimer avec de plus en plus d’aisance, oralement et par écrit</w:t>
            </w:r>
          </w:p>
          <w:p w14:paraId="61D86295" w14:textId="0A7A52E6" w:rsidR="0024696F" w:rsidRPr="005A1FA5" w:rsidRDefault="00B44924" w:rsidP="00B44924">
            <w:pPr>
              <w:pStyle w:val="ListParagraph"/>
              <w:spacing w:after="120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>
              <w:br/>
            </w:r>
            <w:r w:rsidRPr="00767CF2">
              <w:t>le mieux adapté à ses propres capacités et à celles des autres</w:t>
            </w:r>
          </w:p>
        </w:tc>
        <w:tc>
          <w:tcPr>
            <w:tcW w:w="2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69098B1" w14:textId="4BCB409F" w:rsidR="00B44924" w:rsidRPr="008F5003" w:rsidRDefault="00B44924" w:rsidP="00B44924">
            <w:pPr>
              <w:pStyle w:val="ListParagraphwithsub-bullets"/>
            </w:pPr>
            <w:r w:rsidRPr="00767CF2">
              <w:t xml:space="preserve">Vocabulaire, structures de phrases et expressions de plus </w:t>
            </w:r>
            <w:r>
              <w:br/>
            </w:r>
            <w:r w:rsidRPr="00767CF2">
              <w:t>en plus complexes, notamment</w:t>
            </w:r>
            <w:r>
              <w:t xml:space="preserve"> </w:t>
            </w:r>
            <w:r w:rsidRPr="00767CF2">
              <w:t>:</w:t>
            </w:r>
          </w:p>
          <w:p w14:paraId="643E8016" w14:textId="77777777" w:rsidR="00B44924" w:rsidRPr="008F5003" w:rsidRDefault="00B44924" w:rsidP="00B44924">
            <w:pPr>
              <w:pStyle w:val="ListParagraphindent"/>
            </w:pPr>
            <w:r w:rsidRPr="00767CF2">
              <w:t>les questions complexes</w:t>
            </w:r>
          </w:p>
          <w:p w14:paraId="4CC4B843" w14:textId="77777777" w:rsidR="00B44924" w:rsidRPr="008F5003" w:rsidRDefault="00B44924" w:rsidP="00B44924">
            <w:pPr>
              <w:pStyle w:val="ListParagraphindent"/>
            </w:pPr>
            <w:r w:rsidRPr="00767CF2">
              <w:t>l’</w:t>
            </w:r>
            <w:r w:rsidRPr="00767CF2">
              <w:rPr>
                <w:b/>
              </w:rPr>
              <w:t xml:space="preserve">ordre </w:t>
            </w:r>
            <w:r w:rsidRPr="00767CF2">
              <w:t>des événements dans des histoires</w:t>
            </w:r>
          </w:p>
          <w:p w14:paraId="31DDCE3D" w14:textId="77777777" w:rsidR="00B44924" w:rsidRPr="008F5003" w:rsidRDefault="00B44924" w:rsidP="00B44924">
            <w:pPr>
              <w:pStyle w:val="ListParagraphindent"/>
            </w:pPr>
            <w:r w:rsidRPr="00767CF2">
              <w:t xml:space="preserve">les explications et justifications des </w:t>
            </w:r>
            <w:r w:rsidRPr="00767CF2">
              <w:rPr>
                <w:b/>
              </w:rPr>
              <w:t>opinions</w:t>
            </w:r>
          </w:p>
          <w:p w14:paraId="253DC338" w14:textId="4AF477DB" w:rsidR="00B44924" w:rsidRPr="008F5003" w:rsidRDefault="00B44924" w:rsidP="00B44924">
            <w:pPr>
              <w:pStyle w:val="ListparagraphidentLastsub-bullet"/>
            </w:pPr>
            <w:r w:rsidRPr="00767CF2">
              <w:t xml:space="preserve">les </w:t>
            </w:r>
            <w:r w:rsidRPr="00B44924">
              <w:rPr>
                <w:b/>
              </w:rPr>
              <w:t>points de vue</w:t>
            </w:r>
          </w:p>
          <w:p w14:paraId="4D76F2A4" w14:textId="77777777" w:rsidR="00B44924" w:rsidRPr="005F7E7C" w:rsidRDefault="00B44924" w:rsidP="00B44924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Cadres temporels</w:t>
            </w:r>
            <w:r w:rsidRPr="005F7E7C">
              <w:t xml:space="preserve"> du passé, du présent et du futur</w:t>
            </w:r>
          </w:p>
          <w:p w14:paraId="6747595D" w14:textId="77777777" w:rsidR="00B44924" w:rsidRPr="008F5003" w:rsidRDefault="00B44924" w:rsidP="00B44924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Style linguistique</w:t>
            </w:r>
            <w:r w:rsidRPr="00767CF2">
              <w:rPr>
                <w:b/>
              </w:rPr>
              <w:t xml:space="preserve"> et étiquette </w:t>
            </w:r>
          </w:p>
          <w:p w14:paraId="373C322E" w14:textId="1FA6DB29" w:rsidR="00B44924" w:rsidRPr="008F5003" w:rsidRDefault="00B44924" w:rsidP="00B44924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entre la langue </w:t>
            </w:r>
            <w:r>
              <w:br/>
            </w:r>
            <w:r w:rsidRPr="00767CF2">
              <w:t xml:space="preserve">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1B5DF00C" w14:textId="77777777" w:rsidR="00B44924" w:rsidRPr="008F5003" w:rsidRDefault="00B44924" w:rsidP="00B44924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7DCEADF5" w14:textId="77777777" w:rsidR="00B44924" w:rsidRPr="008F5003" w:rsidRDefault="00B44924" w:rsidP="00B44924">
            <w:pPr>
              <w:pStyle w:val="ListParagraph"/>
            </w:pPr>
            <w:r w:rsidRPr="00767CF2">
              <w:t>Contributions des Canadiens d’origine coréenne à la société</w:t>
            </w:r>
          </w:p>
          <w:p w14:paraId="03C90176" w14:textId="5F327C20" w:rsidR="0024696F" w:rsidRPr="005A1FA5" w:rsidRDefault="00B44924" w:rsidP="00B44924">
            <w:pPr>
              <w:pStyle w:val="ListParagraph"/>
              <w:spacing w:after="120"/>
            </w:pPr>
            <w:r w:rsidRPr="00767CF2">
              <w:t xml:space="preserve">Comportements éthiques pour éviter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>appropriation culturelle</w:t>
            </w:r>
            <w:r w:rsidRPr="00767CF2">
              <w:t xml:space="preserve"> </w:t>
            </w:r>
            <w:r>
              <w:br/>
            </w:r>
            <w:r w:rsidRPr="00767CF2">
              <w:t>et le plagiat</w:t>
            </w:r>
          </w:p>
        </w:tc>
      </w:tr>
    </w:tbl>
    <w:p w14:paraId="1251CD0A" w14:textId="6FF6D47D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 xml:space="preserve">Domaine d’apprentissage : </w:t>
      </w:r>
      <w:r w:rsidR="00731258">
        <w:rPr>
          <w:b/>
          <w:sz w:val="28"/>
        </w:rPr>
        <w:t>CORÉEN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8"/>
        <w:gridCol w:w="6436"/>
      </w:tblGrid>
      <w:tr w:rsidR="00B44924" w:rsidRPr="005A1FA5" w14:paraId="2367A8FA" w14:textId="77777777" w:rsidTr="00B44924">
        <w:tc>
          <w:tcPr>
            <w:tcW w:w="2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B44924" w:rsidRPr="005A1FA5" w14:paraId="522264D9" w14:textId="77777777" w:rsidTr="00B44924">
        <w:trPr>
          <w:trHeight w:val="484"/>
        </w:trPr>
        <w:tc>
          <w:tcPr>
            <w:tcW w:w="2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2B136518" w:rsidR="005B2123" w:rsidRPr="005A1FA5" w:rsidRDefault="00D772C9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85D2009" w14:textId="77777777" w:rsidR="00B44924" w:rsidRPr="008F5003" w:rsidRDefault="00B44924" w:rsidP="00B44924">
            <w:pPr>
              <w:pStyle w:val="ListParagraph"/>
              <w:spacing w:before="120"/>
            </w:pPr>
            <w:r w:rsidRPr="00767CF2">
              <w:t xml:space="preserve">Étudier la </w:t>
            </w:r>
            <w:r w:rsidRPr="00767CF2">
              <w:rPr>
                <w:b/>
                <w:bCs/>
              </w:rPr>
              <w:t>diversité régionale et ethnique</w:t>
            </w:r>
            <w:r w:rsidRPr="00767CF2">
              <w:t xml:space="preserve"> de la langue et de la culture coréennes</w:t>
            </w:r>
          </w:p>
          <w:p w14:paraId="37A2D26F" w14:textId="13301703" w:rsidR="00B44924" w:rsidRPr="008F5003" w:rsidRDefault="00B44924" w:rsidP="00B44924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</w:t>
            </w:r>
            <w:r>
              <w:br/>
            </w:r>
            <w:r w:rsidRPr="00767CF2">
              <w:t xml:space="preserve">les communautés </w:t>
            </w:r>
            <w:r>
              <w:t xml:space="preserve">de langue </w:t>
            </w:r>
            <w:r w:rsidRPr="00767CF2">
              <w:t>coréenne</w:t>
            </w:r>
          </w:p>
          <w:p w14:paraId="7C6FCC01" w14:textId="77777777" w:rsidR="00B44924" w:rsidRPr="008F5003" w:rsidRDefault="00B44924" w:rsidP="00B44924">
            <w:pPr>
              <w:pStyle w:val="ListParagraph"/>
            </w:pPr>
            <w:r w:rsidRPr="00767CF2">
              <w:rPr>
                <w:color w:val="000000" w:themeColor="text1"/>
              </w:rPr>
              <w:t xml:space="preserve">Analyser les expériences, les perspectives et les visions du monde personnelles, 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67F240D7" w14:textId="77777777" w:rsidR="00B44924" w:rsidRPr="008F5003" w:rsidRDefault="00B44924" w:rsidP="00B44924">
            <w:pPr>
              <w:pStyle w:val="ListParagraph"/>
            </w:pPr>
            <w:r w:rsidRPr="00767CF2">
              <w:t xml:space="preserve">Explorer des occasions de poursuivre l’apprentissage de la langue après l’obtention du diplôme d’études secondaires </w:t>
            </w:r>
          </w:p>
          <w:p w14:paraId="53AE6952" w14:textId="77777777" w:rsidR="00B44924" w:rsidRPr="005F7E7C" w:rsidRDefault="00B44924" w:rsidP="00B44924">
            <w:pPr>
              <w:pStyle w:val="ListParagraph"/>
            </w:pPr>
            <w:r w:rsidRPr="00767CF2">
              <w:t xml:space="preserve">Recenser et explorer les </w:t>
            </w:r>
            <w:r w:rsidRPr="00767CF2">
              <w:rPr>
                <w:b/>
                <w:bCs/>
              </w:rPr>
              <w:t>possibilités en matière d</w:t>
            </w:r>
            <w:r w:rsidRPr="00767CF2">
              <w:rPr>
                <w:b/>
              </w:rPr>
              <w:t>’éducation, de carrière et de développement personnel</w:t>
            </w:r>
            <w:r w:rsidRPr="005F7E7C">
              <w:t xml:space="preserve"> nécessitant une maîtrise du coréen</w:t>
            </w:r>
          </w:p>
          <w:p w14:paraId="287E313D" w14:textId="36EF9C51" w:rsidR="00D96986" w:rsidRPr="005A1FA5" w:rsidRDefault="00B44924" w:rsidP="00B44924">
            <w:pPr>
              <w:pStyle w:val="ListParagraph"/>
              <w:spacing w:after="120"/>
            </w:pPr>
            <w:r w:rsidRPr="00767CF2">
              <w:t xml:space="preserve">Reconnaître les perspectives et les connaissances des peuples </w:t>
            </w:r>
            <w:r>
              <w:br/>
            </w:r>
            <w:r w:rsidRPr="00767CF2">
              <w:t>autochtones, 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et les connaissances culturelles locales</w:t>
            </w:r>
          </w:p>
        </w:tc>
        <w:tc>
          <w:tcPr>
            <w:tcW w:w="2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4239541D" w14:textId="77777777" w:rsidR="00B206D3" w:rsidRPr="005A1FA5" w:rsidRDefault="00B206D3" w:rsidP="00153CA4">
      <w:pPr>
        <w:rPr>
          <w:sz w:val="16"/>
        </w:rPr>
      </w:pPr>
    </w:p>
    <w:p w14:paraId="1CF80B88" w14:textId="77777777" w:rsidR="00D772C9" w:rsidRPr="005A1FA5" w:rsidRDefault="00D772C9" w:rsidP="00153CA4">
      <w:pPr>
        <w:rPr>
          <w:sz w:val="16"/>
        </w:rPr>
      </w:pPr>
    </w:p>
    <w:p w14:paraId="6C97D3F9" w14:textId="77777777" w:rsidR="00861BC6" w:rsidRPr="005A1FA5" w:rsidRDefault="00861BC6">
      <w:r w:rsidRPr="005A1FA5">
        <w:br w:type="page"/>
      </w:r>
    </w:p>
    <w:p w14:paraId="17ABE574" w14:textId="79E3459C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731258">
        <w:rPr>
          <w:b/>
          <w:sz w:val="28"/>
        </w:rPr>
        <w:t>CORÉEN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388E5F7E" w14:textId="77777777" w:rsidR="00861BC6" w:rsidRPr="005A1FA5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48F24222" w14:textId="77777777" w:rsidR="00861BC6" w:rsidRPr="005A1FA5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800"/>
        <w:gridCol w:w="236"/>
        <w:gridCol w:w="2960"/>
        <w:gridCol w:w="236"/>
        <w:gridCol w:w="3200"/>
        <w:gridCol w:w="240"/>
        <w:gridCol w:w="2000"/>
      </w:tblGrid>
      <w:tr w:rsidR="005C373A" w:rsidRPr="005A1FA5" w14:paraId="437895C6" w14:textId="77777777" w:rsidTr="00564D1D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69A7B1D8" w:rsidR="005C373A" w:rsidRPr="005A1FA5" w:rsidRDefault="00F93655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L’apprentissage d’une langue est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un processus qui continue toute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la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760756E8" w:rsidR="005C373A" w:rsidRPr="005A1FA5" w:rsidRDefault="00F93655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Le fait d’exprimer dans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une nouvelle langue nos sentiments, nos opinions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et nos croyances contribue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à construire notre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5E8C5E45" w:rsidR="005C373A" w:rsidRPr="005A1FA5" w:rsidRDefault="00F93655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>Lorsque nous maîtrisons une nouvelle langue suffisamment bien, nous pouvons discuter de nos opinions et les justifier de manière claire et nuancée.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6108BAD8" w:rsidR="005C373A" w:rsidRPr="005A1FA5" w:rsidRDefault="00F93655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L’exploration de diverses </w:t>
            </w:r>
            <w:r w:rsidRPr="00767CF2">
              <w:rPr>
                <w:rFonts w:cstheme="majorHAnsi"/>
                <w:b/>
                <w:bCs/>
              </w:rPr>
              <w:t>formes d’expression culturelle</w:t>
            </w:r>
            <w:r w:rsidRPr="00767CF2">
              <w:rPr>
                <w:rFonts w:cstheme="majorHAnsi"/>
              </w:rPr>
              <w:t xml:space="preserve"> favorise une meilleure compréhension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et appréciation des cultures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du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49C975D1" w:rsidR="005C373A" w:rsidRPr="005A1FA5" w:rsidRDefault="00F93655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>La maîtrise d’une nouvelle langue nous permet d’explorer les enjeux mondiaux</w:t>
            </w:r>
            <w:r w:rsidRPr="005F7E7C">
              <w:rPr>
                <w:rFonts w:cstheme="majorHAnsi"/>
              </w:rPr>
              <w:t>.</w:t>
            </w:r>
            <w:r w:rsidR="005C373A" w:rsidRPr="005A1FA5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5A1FA5" w:rsidRDefault="005C373A" w:rsidP="005C373A">
      <w:pPr>
        <w:rPr>
          <w:sz w:val="16"/>
          <w:szCs w:val="16"/>
        </w:rPr>
      </w:pPr>
    </w:p>
    <w:p w14:paraId="35D1900B" w14:textId="77777777" w:rsidR="00861BC6" w:rsidRPr="005A1FA5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0"/>
        <w:gridCol w:w="7034"/>
      </w:tblGrid>
      <w:tr w:rsidR="002833C7" w:rsidRPr="005A1FA5" w14:paraId="6C7F1DFC" w14:textId="77777777" w:rsidTr="00252D89"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833C7" w:rsidRPr="005A1FA5" w14:paraId="50A45B96" w14:textId="77777777" w:rsidTr="00252D89"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5A1FA5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018FF4A0" w14:textId="7AB5BCD4" w:rsidR="009B7148" w:rsidRPr="008F5003" w:rsidRDefault="009B7148" w:rsidP="009B7148">
            <w:pPr>
              <w:pStyle w:val="ListParagraph"/>
            </w:pPr>
            <w:r w:rsidRPr="00767CF2">
              <w:t xml:space="preserve">Approfondir le sens et les perspectives dans une grande variété </w:t>
            </w:r>
            <w:r w:rsidR="00252D89">
              <w:br/>
            </w:r>
            <w:r w:rsidRPr="00767CF2">
              <w:t xml:space="preserve">de </w:t>
            </w:r>
            <w:r w:rsidRPr="00767CF2">
              <w:rPr>
                <w:b/>
                <w:bCs/>
              </w:rPr>
              <w:t>contextes</w:t>
            </w:r>
          </w:p>
          <w:p w14:paraId="0AA842D8" w14:textId="77777777" w:rsidR="009B7148" w:rsidRPr="005F7E7C" w:rsidRDefault="009B7148" w:rsidP="009B7148">
            <w:pPr>
              <w:pStyle w:val="ListParagraph"/>
            </w:pPr>
            <w:r w:rsidRPr="00767CF2">
              <w:t xml:space="preserve">Trouver et explorer une variété de </w:t>
            </w:r>
            <w:r w:rsidRPr="00767CF2">
              <w:rPr>
                <w:b/>
              </w:rPr>
              <w:t>textes</w:t>
            </w:r>
            <w:r w:rsidRPr="005F7E7C">
              <w:t xml:space="preserve"> en langue coréenne</w:t>
            </w:r>
          </w:p>
          <w:p w14:paraId="74190C18" w14:textId="3A70FAFD" w:rsidR="009B7148" w:rsidRPr="008F5003" w:rsidRDefault="009B7148" w:rsidP="009B7148">
            <w:pPr>
              <w:pStyle w:val="ListParagraph"/>
            </w:pPr>
            <w:r w:rsidRPr="00767CF2">
              <w:t xml:space="preserve">Reconnaître les différents </w:t>
            </w:r>
            <w:r w:rsidRPr="00767CF2">
              <w:rPr>
                <w:b/>
                <w:bCs/>
              </w:rPr>
              <w:t>buts</w:t>
            </w:r>
            <w:r w:rsidRPr="00767CF2">
              <w:t xml:space="preserve"> visés, registres (soutenu ou familier) </w:t>
            </w:r>
            <w:r w:rsidR="00252D89">
              <w:br/>
            </w:r>
            <w:r w:rsidRPr="00767CF2">
              <w:t>et points de vue culturels dans une variété de textes</w:t>
            </w:r>
          </w:p>
          <w:p w14:paraId="7FF1DFD3" w14:textId="77777777" w:rsidR="009B7148" w:rsidRPr="008F5003" w:rsidRDefault="009B7148" w:rsidP="009B7148">
            <w:pPr>
              <w:pStyle w:val="ListParagraph"/>
            </w:pPr>
            <w:r w:rsidRPr="00767CF2">
              <w:rPr>
                <w:b/>
                <w:bCs/>
              </w:rPr>
              <w:t>Réagir de manière personnelle</w:t>
            </w:r>
            <w:r w:rsidRPr="00767CF2">
              <w:t xml:space="preserve"> à une variété de textes</w:t>
            </w:r>
          </w:p>
          <w:p w14:paraId="7D24A7D8" w14:textId="291A0442" w:rsidR="009B7148" w:rsidRPr="008F5003" w:rsidRDefault="009B7148" w:rsidP="009B7148">
            <w:pPr>
              <w:pStyle w:val="ListParagraph"/>
              <w:rPr>
                <w:b/>
              </w:rPr>
            </w:pPr>
            <w:r w:rsidRPr="00767CF2">
              <w:t xml:space="preserve">Analyser et comparer les éléments d’œuvres de création </w:t>
            </w:r>
            <w:r w:rsidR="00252D89">
              <w:br/>
            </w:r>
            <w:r w:rsidRPr="00767CF2">
              <w:t>de diverses communautés</w:t>
            </w:r>
          </w:p>
          <w:p w14:paraId="024815F7" w14:textId="77777777" w:rsidR="009B7148" w:rsidRPr="008F5003" w:rsidRDefault="009B7148" w:rsidP="009B7148">
            <w:pPr>
              <w:pStyle w:val="ListParagraph"/>
            </w:pPr>
            <w:r w:rsidRPr="00767CF2">
              <w:t>Tenir compte de l’incidence du choix de mots sur le sens</w:t>
            </w:r>
          </w:p>
          <w:p w14:paraId="227F4806" w14:textId="66221989" w:rsidR="009B7148" w:rsidRPr="008F5003" w:rsidRDefault="009B7148" w:rsidP="009B7148">
            <w:pPr>
              <w:pStyle w:val="ListParagraph"/>
              <w:rPr>
                <w:b/>
              </w:rPr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 w:rsidR="00252D89">
              <w:br/>
            </w:r>
            <w:r w:rsidRPr="00767CF2">
              <w:t>et s’exprimer en utilisant la langue à l’oral et à l’écrit</w:t>
            </w:r>
          </w:p>
          <w:p w14:paraId="07FAD6DE" w14:textId="77777777" w:rsidR="009B7148" w:rsidRPr="008F5003" w:rsidRDefault="009B7148" w:rsidP="009B7148">
            <w:pPr>
              <w:pStyle w:val="ListParagraph"/>
            </w:pPr>
            <w:r w:rsidRPr="00767CF2">
              <w:rPr>
                <w:b/>
                <w:bCs/>
              </w:rPr>
              <w:t xml:space="preserve">Raconter </w:t>
            </w:r>
            <w:r w:rsidRPr="00767CF2">
              <w:rPr>
                <w:bCs/>
              </w:rPr>
              <w:t>des</w:t>
            </w:r>
            <w:r w:rsidRPr="00767CF2">
              <w:rPr>
                <w:b/>
                <w:bCs/>
              </w:rPr>
              <w:t xml:space="preserve"> histoires</w:t>
            </w:r>
            <w:r w:rsidRPr="00767CF2">
              <w:t>, à l’oral et à l’écrit</w:t>
            </w:r>
          </w:p>
          <w:p w14:paraId="3D11AE1B" w14:textId="77777777" w:rsidR="009B7148" w:rsidRPr="008F5003" w:rsidRDefault="009B7148" w:rsidP="009B7148">
            <w:pPr>
              <w:pStyle w:val="ListParagraph"/>
            </w:pPr>
            <w:r w:rsidRPr="00767CF2">
              <w:rPr>
                <w:b/>
              </w:rPr>
              <w:t>Échanger des idées</w:t>
            </w:r>
            <w:r w:rsidRPr="005F7E7C">
              <w:t xml:space="preserve"> sur des sujets d’</w:t>
            </w:r>
            <w:r w:rsidRPr="00767CF2">
              <w:t>intérêt variés, à l’oral et à l’écrit</w:t>
            </w:r>
          </w:p>
          <w:p w14:paraId="6A512922" w14:textId="77777777" w:rsidR="009B7148" w:rsidRPr="008F5003" w:rsidRDefault="009B7148" w:rsidP="009B7148">
            <w:pPr>
              <w:pStyle w:val="ListParagraph"/>
            </w:pPr>
            <w:r w:rsidRPr="00767CF2">
              <w:t>Adapter son énoncé oral ou écrit pour refléter les différents contextes</w:t>
            </w:r>
          </w:p>
          <w:p w14:paraId="46A3E9B3" w14:textId="0273F8AA" w:rsidR="009B7148" w:rsidRPr="008F5003" w:rsidRDefault="009B7148" w:rsidP="009B7148">
            <w:pPr>
              <w:pStyle w:val="ListParagraph"/>
            </w:pPr>
            <w:r w:rsidRPr="00767CF2">
              <w:t xml:space="preserve">S’exprimer efficacement, avec </w:t>
            </w:r>
            <w:r w:rsidRPr="00767CF2">
              <w:rPr>
                <w:b/>
                <w:bCs/>
              </w:rPr>
              <w:t>aisance et exactitude</w:t>
            </w:r>
            <w:r w:rsidRPr="00767CF2">
              <w:t xml:space="preserve">, à l’oral </w:t>
            </w:r>
            <w:r w:rsidR="00252D89">
              <w:br/>
            </w:r>
            <w:r w:rsidR="009C0492">
              <w:t>et à l’écrit</w:t>
            </w:r>
          </w:p>
          <w:p w14:paraId="67445E3B" w14:textId="7445F265" w:rsidR="00861BC6" w:rsidRPr="005A1FA5" w:rsidRDefault="009B7148" w:rsidP="008206BC">
            <w:pPr>
              <w:pStyle w:val="ListParagraph"/>
              <w:spacing w:after="120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 w:rsidR="00252D89">
              <w:br/>
            </w:r>
            <w:r w:rsidRPr="00767CF2">
              <w:t>le mieux adapté à ses propres capacités et à celles des autres</w:t>
            </w:r>
          </w:p>
        </w:tc>
        <w:tc>
          <w:tcPr>
            <w:tcW w:w="2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A5BDFA6" w14:textId="1B597DC6" w:rsidR="00252D89" w:rsidRPr="008F5003" w:rsidRDefault="00252D89" w:rsidP="00252D89">
            <w:pPr>
              <w:pStyle w:val="ListParagraphwithsub-bullets"/>
            </w:pPr>
            <w:r w:rsidRPr="00767CF2">
              <w:t xml:space="preserve">Vocabulaire de plus en plus complexe, structures de phrases </w:t>
            </w:r>
            <w:r>
              <w:br/>
            </w:r>
            <w:r w:rsidRPr="00767CF2">
              <w:t>et expressions, notamment</w:t>
            </w:r>
            <w:r>
              <w:t xml:space="preserve"> </w:t>
            </w:r>
            <w:r w:rsidRPr="00767CF2">
              <w:t>:</w:t>
            </w:r>
          </w:p>
          <w:p w14:paraId="719FB56C" w14:textId="77777777" w:rsidR="00252D89" w:rsidRPr="008F5003" w:rsidRDefault="00252D89" w:rsidP="00252D89">
            <w:pPr>
              <w:pStyle w:val="ListParagraphindent"/>
            </w:pPr>
            <w:r w:rsidRPr="00767CF2">
              <w:t>les questions et opinions complexes</w:t>
            </w:r>
          </w:p>
          <w:p w14:paraId="16FFF370" w14:textId="77777777" w:rsidR="00252D89" w:rsidRPr="008F5003" w:rsidRDefault="00252D89" w:rsidP="00252D89">
            <w:pPr>
              <w:pStyle w:val="ListParagraphindent"/>
            </w:pPr>
            <w:r w:rsidRPr="00767CF2">
              <w:t>l’</w:t>
            </w:r>
            <w:r w:rsidRPr="00767CF2">
              <w:rPr>
                <w:b/>
              </w:rPr>
              <w:t xml:space="preserve">ordre </w:t>
            </w:r>
            <w:r w:rsidRPr="00767CF2">
              <w:t>des événements dans des histoires</w:t>
            </w:r>
          </w:p>
          <w:p w14:paraId="742AC542" w14:textId="77777777" w:rsidR="00252D89" w:rsidRPr="008F5003" w:rsidRDefault="00252D89" w:rsidP="00252D89">
            <w:pPr>
              <w:pStyle w:val="ListparagraphidentLastsub-bullet"/>
            </w:pPr>
            <w:r w:rsidRPr="00767CF2">
              <w:t xml:space="preserve">les </w:t>
            </w:r>
            <w:r w:rsidRPr="00252D89">
              <w:rPr>
                <w:b/>
              </w:rPr>
              <w:t>besoins</w:t>
            </w:r>
            <w:r w:rsidRPr="00767CF2">
              <w:t xml:space="preserve"> et </w:t>
            </w:r>
            <w:r w:rsidRPr="00252D89">
              <w:rPr>
                <w:b/>
              </w:rPr>
              <w:t>émotions</w:t>
            </w:r>
          </w:p>
          <w:p w14:paraId="27DE704F" w14:textId="77777777" w:rsidR="00252D89" w:rsidRPr="008F5003" w:rsidRDefault="00252D89" w:rsidP="00252D89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Style linguistique</w:t>
            </w:r>
            <w:r w:rsidRPr="00767CF2">
              <w:rPr>
                <w:b/>
              </w:rPr>
              <w:t xml:space="preserve"> et étiquette</w:t>
            </w:r>
          </w:p>
          <w:p w14:paraId="1B875FF1" w14:textId="77777777" w:rsidR="00252D89" w:rsidRPr="008F5003" w:rsidRDefault="00252D89" w:rsidP="00252D89">
            <w:pPr>
              <w:pStyle w:val="ListParagraph"/>
              <w:rPr>
                <w:b/>
              </w:rPr>
            </w:pPr>
            <w:r w:rsidRPr="00767CF2">
              <w:t>Cadres temporels du passé, du présent et du</w:t>
            </w:r>
            <w:r>
              <w:t xml:space="preserve"> </w:t>
            </w:r>
            <w:r w:rsidRPr="00767CF2">
              <w:t>futur</w:t>
            </w:r>
          </w:p>
          <w:p w14:paraId="337860D7" w14:textId="533AE1CE" w:rsidR="00252D89" w:rsidRPr="008F5003" w:rsidRDefault="00252D89" w:rsidP="00252D89">
            <w:pPr>
              <w:pStyle w:val="ListParagraph"/>
            </w:pPr>
            <w:r w:rsidRPr="00767CF2">
              <w:t>Caractéristiques qui permettent de distinguer</w:t>
            </w:r>
            <w:r w:rsidRPr="00767CF2">
              <w:rPr>
                <w:b/>
                <w:bCs/>
              </w:rPr>
              <w:t xml:space="preserve"> </w:t>
            </w:r>
            <w:r w:rsidRPr="00767CF2">
              <w:t>les principaux</w:t>
            </w:r>
            <w:r w:rsidRPr="00767C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767CF2">
              <w:rPr>
                <w:b/>
                <w:bCs/>
              </w:rPr>
              <w:t>dialectes régionaux</w:t>
            </w:r>
          </w:p>
          <w:p w14:paraId="2C27EC1A" w14:textId="57462DA9" w:rsidR="00252D89" w:rsidRPr="008F5003" w:rsidRDefault="00252D89" w:rsidP="00252D89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entre la langue </w:t>
            </w:r>
            <w:r>
              <w:br/>
            </w:r>
            <w:r w:rsidRPr="00767CF2">
              <w:t xml:space="preserve">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et </w:t>
            </w:r>
            <w:r w:rsidRPr="00767CF2">
              <w:rPr>
                <w:bCs/>
              </w:rPr>
              <w:t>le</w:t>
            </w:r>
            <w:r w:rsidR="00020357">
              <w:rPr>
                <w:b/>
                <w:bCs/>
              </w:rPr>
              <w:t xml:space="preserve"> lieu</w:t>
            </w:r>
          </w:p>
          <w:p w14:paraId="12996CAD" w14:textId="77777777" w:rsidR="00252D89" w:rsidRPr="008F5003" w:rsidRDefault="00252D89" w:rsidP="00252D89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22EAEA69" w14:textId="77777777" w:rsidR="00252D89" w:rsidRPr="008F5003" w:rsidRDefault="00252D89" w:rsidP="00252D89">
            <w:pPr>
              <w:pStyle w:val="ListParagraph"/>
            </w:pPr>
            <w:r w:rsidRPr="00767CF2">
              <w:t>Contributions des Canadiens d’origine coréenne à la société</w:t>
            </w:r>
          </w:p>
          <w:p w14:paraId="292F9583" w14:textId="77777777" w:rsidR="00252D89" w:rsidRPr="008F5003" w:rsidRDefault="00252D89" w:rsidP="00252D89">
            <w:pPr>
              <w:pStyle w:val="ListParagraph"/>
            </w:pPr>
            <w:r w:rsidRPr="00767CF2">
              <w:rPr>
                <w:b/>
              </w:rPr>
              <w:t>R</w:t>
            </w:r>
            <w:r w:rsidRPr="00767CF2">
              <w:rPr>
                <w:b/>
                <w:bCs/>
              </w:rPr>
              <w:t>essources et services</w:t>
            </w:r>
            <w:r w:rsidRPr="00767CF2">
              <w:t xml:space="preserve"> liés au coréen</w:t>
            </w:r>
          </w:p>
          <w:p w14:paraId="49C97543" w14:textId="29C6E777" w:rsidR="00861BC6" w:rsidRPr="005A1FA5" w:rsidRDefault="00252D89" w:rsidP="00252D89">
            <w:pPr>
              <w:pStyle w:val="ListParagraph"/>
            </w:pPr>
            <w:r w:rsidRPr="00767CF2">
              <w:t>Comportements éthiques pour éviter</w:t>
            </w:r>
            <w:r>
              <w:t xml:space="preserve">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>appropriation culturelle</w:t>
            </w:r>
            <w:r w:rsidRPr="00767CF2">
              <w:t xml:space="preserve"> </w:t>
            </w:r>
            <w:r>
              <w:br/>
            </w:r>
            <w:r w:rsidRPr="00767CF2">
              <w:t>et le plagiat</w:t>
            </w:r>
          </w:p>
        </w:tc>
      </w:tr>
    </w:tbl>
    <w:p w14:paraId="4C5A77F0" w14:textId="52361C17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0945CBEF" wp14:editId="55AD42B3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731258">
        <w:rPr>
          <w:b/>
          <w:sz w:val="28"/>
        </w:rPr>
        <w:t>CORÉEN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5B801FC" w14:textId="77777777" w:rsidR="00861BC6" w:rsidRPr="005A1FA5" w:rsidRDefault="00861BC6" w:rsidP="00861BC6"/>
    <w:p w14:paraId="3F310B8B" w14:textId="77777777" w:rsidR="00861BC6" w:rsidRPr="005A1FA5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5"/>
        <w:gridCol w:w="6179"/>
      </w:tblGrid>
      <w:tr w:rsidR="00F16079" w:rsidRPr="005A1FA5" w14:paraId="4C9C35F8" w14:textId="77777777" w:rsidTr="00F16079">
        <w:tc>
          <w:tcPr>
            <w:tcW w:w="2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94BC05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FDF490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16079" w:rsidRPr="005A1FA5" w14:paraId="2A324DAC" w14:textId="77777777" w:rsidTr="00F16079">
        <w:trPr>
          <w:trHeight w:val="484"/>
        </w:trPr>
        <w:tc>
          <w:tcPr>
            <w:tcW w:w="2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F3619" w14:textId="77777777" w:rsidR="00861BC6" w:rsidRPr="005A1FA5" w:rsidRDefault="00861BC6" w:rsidP="00E50912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9BCF173" w14:textId="0774E2BD" w:rsidR="009B7148" w:rsidRPr="008F5003" w:rsidRDefault="009B7148" w:rsidP="009B7148">
            <w:pPr>
              <w:pStyle w:val="ListParagraph"/>
            </w:pPr>
            <w:r w:rsidRPr="00767CF2">
              <w:t xml:space="preserve">Reconnaître la </w:t>
            </w:r>
            <w:r w:rsidRPr="00767CF2">
              <w:rPr>
                <w:bCs/>
              </w:rPr>
              <w:t>diversité régionale et ethnique</w:t>
            </w:r>
            <w:r w:rsidRPr="00767CF2">
              <w:t xml:space="preserve"> de la langue </w:t>
            </w:r>
            <w:r w:rsidR="00F16079">
              <w:br/>
            </w:r>
            <w:r w:rsidRPr="00767CF2">
              <w:t xml:space="preserve">et de la culture coréennes </w:t>
            </w:r>
          </w:p>
          <w:p w14:paraId="6087B5CC" w14:textId="2A2B1C3E" w:rsidR="009B7148" w:rsidRPr="008F5003" w:rsidRDefault="009B7148" w:rsidP="009B7148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</w:t>
            </w:r>
            <w:r w:rsidR="00F16079">
              <w:br/>
            </w:r>
            <w:r w:rsidRPr="00767CF2">
              <w:t xml:space="preserve">des communautés </w:t>
            </w:r>
            <w:r>
              <w:t xml:space="preserve">de langue </w:t>
            </w:r>
            <w:r w:rsidRPr="00767CF2">
              <w:t>coréenne</w:t>
            </w:r>
          </w:p>
          <w:p w14:paraId="51563809" w14:textId="77777777" w:rsidR="009B7148" w:rsidRPr="00767CF2" w:rsidRDefault="009B7148" w:rsidP="009B7148">
            <w:pPr>
              <w:pStyle w:val="ListParagraph"/>
            </w:pPr>
            <w:r w:rsidRPr="00767CF2">
              <w:rPr>
                <w:color w:val="000000" w:themeColor="text1"/>
              </w:rPr>
              <w:t xml:space="preserve">Analyser les expériences, les perspectives et les visions du monde personnelles, 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73B0A4CE" w14:textId="52E7371C" w:rsidR="009B7148" w:rsidRPr="00767CF2" w:rsidRDefault="009B7148" w:rsidP="009B7148">
            <w:pPr>
              <w:pStyle w:val="ListParagraph"/>
            </w:pPr>
            <w:r w:rsidRPr="00767CF2">
              <w:t xml:space="preserve">Relever et explorer les </w:t>
            </w:r>
            <w:r w:rsidRPr="00767CF2">
              <w:rPr>
                <w:b/>
                <w:bCs/>
              </w:rPr>
              <w:t>possibilités en matière d</w:t>
            </w:r>
            <w:r w:rsidRPr="00767CF2">
              <w:rPr>
                <w:b/>
              </w:rPr>
              <w:t xml:space="preserve">’éducation, de carrière </w:t>
            </w:r>
            <w:r w:rsidR="00F16079">
              <w:rPr>
                <w:b/>
              </w:rPr>
              <w:br/>
            </w:r>
            <w:r w:rsidRPr="00767CF2">
              <w:rPr>
                <w:b/>
              </w:rPr>
              <w:t>et de développement personnel</w:t>
            </w:r>
            <w:r w:rsidRPr="005F7E7C">
              <w:t xml:space="preserve"> qui exigent la</w:t>
            </w:r>
            <w:r w:rsidRPr="00767CF2">
              <w:t xml:space="preserve"> maîtrise du coréen</w:t>
            </w:r>
          </w:p>
          <w:p w14:paraId="5AAF767C" w14:textId="0B3A1D0B" w:rsidR="009B7148" w:rsidRPr="008F5003" w:rsidRDefault="009B7148" w:rsidP="009B7148">
            <w:pPr>
              <w:pStyle w:val="ListParagraph"/>
            </w:pPr>
            <w:r w:rsidRPr="00767CF2">
              <w:t xml:space="preserve">Recenser et explorer des </w:t>
            </w:r>
            <w:r w:rsidRPr="00767CF2">
              <w:rPr>
                <w:b/>
                <w:bCs/>
              </w:rPr>
              <w:t>possibilités</w:t>
            </w:r>
            <w:r w:rsidRPr="00767CF2">
              <w:t xml:space="preserve"> de poursuivre l’apprentissage </w:t>
            </w:r>
            <w:r w:rsidR="00F16079">
              <w:br/>
            </w:r>
            <w:r w:rsidRPr="00767CF2">
              <w:t>de la langue après l’obtention du diplôme d’études secondaires</w:t>
            </w:r>
          </w:p>
          <w:p w14:paraId="447DA535" w14:textId="73D9D95E" w:rsidR="00861BC6" w:rsidRPr="005A1FA5" w:rsidRDefault="009B7148" w:rsidP="008206BC">
            <w:pPr>
              <w:pStyle w:val="ListParagraph"/>
              <w:spacing w:after="120"/>
            </w:pPr>
            <w:r w:rsidRPr="00767CF2">
              <w:t xml:space="preserve">Reconnaître les perspectives et les connaissances des peuples </w:t>
            </w:r>
            <w:r w:rsidR="00F16079">
              <w:br/>
            </w:r>
            <w:r w:rsidRPr="00767CF2">
              <w:t>autochtones, 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</w:t>
            </w:r>
            <w:r w:rsidR="00F16079">
              <w:br/>
            </w:r>
            <w:r w:rsidRPr="00767CF2">
              <w:t>et les connaissances culturelles locales</w:t>
            </w:r>
            <w:r w:rsidR="00A362C8" w:rsidRPr="005A1FA5">
              <w:t xml:space="preserve"> </w:t>
            </w:r>
          </w:p>
        </w:tc>
        <w:tc>
          <w:tcPr>
            <w:tcW w:w="2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7AE9C" w14:textId="77777777" w:rsidR="00861BC6" w:rsidRPr="005A1FA5" w:rsidRDefault="00861BC6" w:rsidP="00011287">
            <w:pPr>
              <w:rPr>
                <w:lang w:eastAsia="ja-JP"/>
              </w:rPr>
            </w:pPr>
          </w:p>
        </w:tc>
      </w:tr>
    </w:tbl>
    <w:p w14:paraId="66DA7F65" w14:textId="77777777" w:rsidR="00861BC6" w:rsidRPr="005A1FA5" w:rsidRDefault="00861BC6" w:rsidP="00085303"/>
    <w:p w14:paraId="67564392" w14:textId="77777777" w:rsidR="00861BC6" w:rsidRPr="005A1FA5" w:rsidRDefault="00861BC6" w:rsidP="00085303"/>
    <w:p w14:paraId="736B17DF" w14:textId="77777777" w:rsidR="00861BC6" w:rsidRPr="005A1FA5" w:rsidRDefault="00861BC6" w:rsidP="00085303"/>
    <w:p w14:paraId="1FDE3E2A" w14:textId="77777777" w:rsidR="00D034CC" w:rsidRPr="005A1FA5" w:rsidRDefault="00D034CC" w:rsidP="00085303">
      <w:pPr>
        <w:rPr>
          <w:sz w:val="20"/>
          <w:szCs w:val="20"/>
        </w:rPr>
      </w:pPr>
    </w:p>
    <w:p w14:paraId="1A3F3E81" w14:textId="6C25176D" w:rsidR="00861BC6" w:rsidRPr="00F2529E" w:rsidRDefault="00861BC6" w:rsidP="00085303">
      <w:pPr>
        <w:rPr>
          <w:szCs w:val="16"/>
        </w:rPr>
      </w:pPr>
    </w:p>
    <w:sectPr w:rsidR="00861BC6" w:rsidRPr="00F2529E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E37A2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0357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303"/>
    <w:rsid w:val="000858D2"/>
    <w:rsid w:val="00085DDC"/>
    <w:rsid w:val="000A311F"/>
    <w:rsid w:val="000A3FAA"/>
    <w:rsid w:val="000B2381"/>
    <w:rsid w:val="000C4B9D"/>
    <w:rsid w:val="000C5514"/>
    <w:rsid w:val="000C6A21"/>
    <w:rsid w:val="000E555C"/>
    <w:rsid w:val="000E5D1F"/>
    <w:rsid w:val="000F0916"/>
    <w:rsid w:val="000F2D05"/>
    <w:rsid w:val="00123905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55E"/>
    <w:rsid w:val="001B28CB"/>
    <w:rsid w:val="001B2DC1"/>
    <w:rsid w:val="001C1677"/>
    <w:rsid w:val="001C3F91"/>
    <w:rsid w:val="001D4E97"/>
    <w:rsid w:val="001E063D"/>
    <w:rsid w:val="001E37A2"/>
    <w:rsid w:val="001E4109"/>
    <w:rsid w:val="001E4AC6"/>
    <w:rsid w:val="001E7EC9"/>
    <w:rsid w:val="001F2C2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2D89"/>
    <w:rsid w:val="00275452"/>
    <w:rsid w:val="00281383"/>
    <w:rsid w:val="002833C7"/>
    <w:rsid w:val="00283B98"/>
    <w:rsid w:val="00287CDA"/>
    <w:rsid w:val="00291630"/>
    <w:rsid w:val="002967B0"/>
    <w:rsid w:val="002A7350"/>
    <w:rsid w:val="002C42CD"/>
    <w:rsid w:val="002D3076"/>
    <w:rsid w:val="002E3C1B"/>
    <w:rsid w:val="002E545E"/>
    <w:rsid w:val="002E55AA"/>
    <w:rsid w:val="002F3A0E"/>
    <w:rsid w:val="002F5482"/>
    <w:rsid w:val="00300BCD"/>
    <w:rsid w:val="0031444E"/>
    <w:rsid w:val="00315439"/>
    <w:rsid w:val="00325792"/>
    <w:rsid w:val="003448A3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2B94"/>
    <w:rsid w:val="003D6715"/>
    <w:rsid w:val="003D799D"/>
    <w:rsid w:val="003E3E64"/>
    <w:rsid w:val="003E58E1"/>
    <w:rsid w:val="003F1DB7"/>
    <w:rsid w:val="003F6E58"/>
    <w:rsid w:val="00400F30"/>
    <w:rsid w:val="00402FF7"/>
    <w:rsid w:val="00413BC2"/>
    <w:rsid w:val="004166FE"/>
    <w:rsid w:val="00416E56"/>
    <w:rsid w:val="00431560"/>
    <w:rsid w:val="00442C9B"/>
    <w:rsid w:val="004444AF"/>
    <w:rsid w:val="00447D8B"/>
    <w:rsid w:val="00456D83"/>
    <w:rsid w:val="00457103"/>
    <w:rsid w:val="00481839"/>
    <w:rsid w:val="00482426"/>
    <w:rsid w:val="00483E58"/>
    <w:rsid w:val="004A0FE2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F2F73"/>
    <w:rsid w:val="005028A4"/>
    <w:rsid w:val="00515F86"/>
    <w:rsid w:val="005318CB"/>
    <w:rsid w:val="00533407"/>
    <w:rsid w:val="0053784B"/>
    <w:rsid w:val="00546F47"/>
    <w:rsid w:val="00550AD5"/>
    <w:rsid w:val="00551BD6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A46"/>
    <w:rsid w:val="00607C26"/>
    <w:rsid w:val="00612D2D"/>
    <w:rsid w:val="00620D38"/>
    <w:rsid w:val="006211F9"/>
    <w:rsid w:val="00630508"/>
    <w:rsid w:val="006336A5"/>
    <w:rsid w:val="00635122"/>
    <w:rsid w:val="00635E23"/>
    <w:rsid w:val="00636266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A57B0"/>
    <w:rsid w:val="006C1F70"/>
    <w:rsid w:val="006C583A"/>
    <w:rsid w:val="006C66EF"/>
    <w:rsid w:val="006C742A"/>
    <w:rsid w:val="006C7D1F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1258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06BC"/>
    <w:rsid w:val="00821DEC"/>
    <w:rsid w:val="008310FD"/>
    <w:rsid w:val="00837AFB"/>
    <w:rsid w:val="00844B36"/>
    <w:rsid w:val="00846D64"/>
    <w:rsid w:val="008543C7"/>
    <w:rsid w:val="00861BC6"/>
    <w:rsid w:val="00863818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0E00"/>
    <w:rsid w:val="00947691"/>
    <w:rsid w:val="009506CC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A2CC0"/>
    <w:rsid w:val="009A75A2"/>
    <w:rsid w:val="009B0A15"/>
    <w:rsid w:val="009B7148"/>
    <w:rsid w:val="009C0492"/>
    <w:rsid w:val="009C48F4"/>
    <w:rsid w:val="009D474F"/>
    <w:rsid w:val="009E4B98"/>
    <w:rsid w:val="009E513D"/>
    <w:rsid w:val="009E6E14"/>
    <w:rsid w:val="009F03E5"/>
    <w:rsid w:val="009F0C69"/>
    <w:rsid w:val="009F4B7F"/>
    <w:rsid w:val="00A01A8F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447A4"/>
    <w:rsid w:val="00A447FD"/>
    <w:rsid w:val="00A45B8B"/>
    <w:rsid w:val="00A47A92"/>
    <w:rsid w:val="00A53362"/>
    <w:rsid w:val="00A608D1"/>
    <w:rsid w:val="00A620C3"/>
    <w:rsid w:val="00A645AF"/>
    <w:rsid w:val="00A6463A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DAD"/>
    <w:rsid w:val="00B206D3"/>
    <w:rsid w:val="00B43E27"/>
    <w:rsid w:val="00B44924"/>
    <w:rsid w:val="00B45A02"/>
    <w:rsid w:val="00B465B1"/>
    <w:rsid w:val="00B50005"/>
    <w:rsid w:val="00B50B36"/>
    <w:rsid w:val="00B530F3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4A81"/>
    <w:rsid w:val="00BD6B7D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32AC"/>
    <w:rsid w:val="00C541A2"/>
    <w:rsid w:val="00C55AB5"/>
    <w:rsid w:val="00C56A8B"/>
    <w:rsid w:val="00C66CDF"/>
    <w:rsid w:val="00C67C6E"/>
    <w:rsid w:val="00C70132"/>
    <w:rsid w:val="00C7084D"/>
    <w:rsid w:val="00C72C05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4EB0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57D13"/>
    <w:rsid w:val="00D637A6"/>
    <w:rsid w:val="00D64299"/>
    <w:rsid w:val="00D70E2A"/>
    <w:rsid w:val="00D735D9"/>
    <w:rsid w:val="00D772C9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1F0"/>
    <w:rsid w:val="00EC5CBA"/>
    <w:rsid w:val="00EC6EB7"/>
    <w:rsid w:val="00ED1AB0"/>
    <w:rsid w:val="00ED6CC1"/>
    <w:rsid w:val="00EF2B92"/>
    <w:rsid w:val="00EF70B8"/>
    <w:rsid w:val="00F015BE"/>
    <w:rsid w:val="00F03477"/>
    <w:rsid w:val="00F12B79"/>
    <w:rsid w:val="00F13207"/>
    <w:rsid w:val="00F14960"/>
    <w:rsid w:val="00F16079"/>
    <w:rsid w:val="00F218FE"/>
    <w:rsid w:val="00F2529E"/>
    <w:rsid w:val="00F52F9F"/>
    <w:rsid w:val="00F57D07"/>
    <w:rsid w:val="00F60A99"/>
    <w:rsid w:val="00F61615"/>
    <w:rsid w:val="00F77988"/>
    <w:rsid w:val="00F803DE"/>
    <w:rsid w:val="00F818F5"/>
    <w:rsid w:val="00F9365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BE16C-3CD0-1040-8962-BE586701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881</Words>
  <Characters>5353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6222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98</cp:revision>
  <cp:lastPrinted>2018-04-20T20:49:00Z</cp:lastPrinted>
  <dcterms:created xsi:type="dcterms:W3CDTF">2018-06-07T23:51:00Z</dcterms:created>
  <dcterms:modified xsi:type="dcterms:W3CDTF">2018-06-15T18:32:00Z</dcterms:modified>
</cp:coreProperties>
</file>