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40E04" w14:textId="29226622" w:rsidR="00F97859" w:rsidRDefault="00F97859" w:rsidP="00F97859">
      <w:pPr>
        <w:pStyle w:val="Header2"/>
        <w:pBdr>
          <w:bottom w:val="single" w:sz="4" w:space="1" w:color="auto"/>
        </w:pBdr>
        <w:tabs>
          <w:tab w:val="clear" w:pos="0"/>
          <w:tab w:val="right" w:pos="22560"/>
        </w:tabs>
        <w:spacing w:after="360"/>
        <w:ind w:firstLine="0"/>
        <w:rPr>
          <w:rFonts w:cs="Tahoma"/>
        </w:rPr>
      </w:pPr>
      <w:bookmarkStart w:id="0" w:name="_GoBack"/>
      <w:r w:rsidRPr="004D4C72">
        <w:rPr>
          <w:rFonts w:cs="Tahoma"/>
        </w:rPr>
        <w:t>Indigenous Knowledge and Perspectives: Cross-Curricular References</w:t>
      </w:r>
      <w:r w:rsidR="00751AEB">
        <w:rPr>
          <w:rFonts w:cs="Tahoma"/>
        </w:rPr>
        <w:t xml:space="preserve"> K–9</w:t>
      </w:r>
      <w:r>
        <w:rPr>
          <w:rFonts w:cs="Tahoma"/>
        </w:rPr>
        <w:tab/>
      </w:r>
      <w:r w:rsidRPr="00D46048">
        <w:rPr>
          <w:rFonts w:cstheme="minorHAnsi"/>
        </w:rPr>
        <w:t xml:space="preserve">Grade </w:t>
      </w:r>
      <w:r w:rsidR="00014ADB">
        <w:rPr>
          <w:rFonts w:cstheme="minorHAnsi"/>
        </w:rPr>
        <w:t>9</w:t>
      </w:r>
    </w:p>
    <w:p w14:paraId="5D1A943B" w14:textId="77777777" w:rsidR="00F97859" w:rsidRDefault="00F97859" w:rsidP="00F97859">
      <w:pPr>
        <w:pStyle w:val="Header2"/>
        <w:tabs>
          <w:tab w:val="clear" w:pos="0"/>
          <w:tab w:val="right" w:pos="22560"/>
        </w:tabs>
        <w:spacing w:before="120" w:after="240"/>
        <w:ind w:firstLine="0"/>
        <w:rPr>
          <w:rFonts w:cs="Tahoma"/>
        </w:rPr>
        <w:sectPr w:rsidR="00F97859" w:rsidSect="00431E5F">
          <w:headerReference w:type="even" r:id="rId8"/>
          <w:headerReference w:type="default" r:id="rId9"/>
          <w:footerReference w:type="default" r:id="rId10"/>
          <w:headerReference w:type="first" r:id="rId11"/>
          <w:pgSz w:w="24480" w:h="15800" w:orient="landscape"/>
          <w:pgMar w:top="960" w:right="960" w:bottom="960" w:left="960" w:header="720" w:footer="560" w:gutter="0"/>
          <w:pgNumType w:start="1"/>
          <w:cols w:space="720"/>
          <w:docGrid w:linePitch="326"/>
          <w:printerSettings r:id="rId12"/>
        </w:sectPr>
      </w:pPr>
    </w:p>
    <w:p w14:paraId="5FB58109" w14:textId="77777777" w:rsidR="00F97859" w:rsidRDefault="00F97859" w:rsidP="00F97859">
      <w:pPr>
        <w:pStyle w:val="Header2"/>
        <w:tabs>
          <w:tab w:val="clear" w:pos="0"/>
          <w:tab w:val="right" w:pos="22560"/>
        </w:tabs>
        <w:spacing w:before="120" w:after="240"/>
        <w:ind w:firstLine="0"/>
        <w:rPr>
          <w:rFonts w:cstheme="minorHAnsi"/>
        </w:rPr>
      </w:pPr>
      <w:r w:rsidRPr="009B5B82">
        <w:rPr>
          <w:rFonts w:cs="Tahoma"/>
        </w:rPr>
        <w:lastRenderedPageBreak/>
        <w:t>Context</w:t>
      </w:r>
    </w:p>
    <w:p w14:paraId="51241BCC" w14:textId="7612B015" w:rsidR="00F97859" w:rsidRDefault="00014ADB" w:rsidP="00F97859">
      <w:pPr>
        <w:pStyle w:val="Body"/>
        <w:ind w:right="240"/>
      </w:pPr>
      <w:r w:rsidRPr="00014ADB">
        <w:rPr>
          <w:lang w:val="en-CA"/>
        </w:rPr>
        <w:t>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w:t>
      </w:r>
    </w:p>
    <w:p w14:paraId="714B3FAB" w14:textId="54EAA5CA" w:rsidR="00F97859" w:rsidRDefault="00014ADB" w:rsidP="00F97859">
      <w:pPr>
        <w:pStyle w:val="Body"/>
        <w:spacing w:after="360"/>
        <w:ind w:right="240"/>
      </w:pPr>
      <w:r w:rsidRPr="00014ADB">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6ED665CD" w14:textId="77777777" w:rsidR="00F97859" w:rsidRDefault="00F97859" w:rsidP="00F97859">
      <w:pPr>
        <w:pStyle w:val="Header2"/>
        <w:tabs>
          <w:tab w:val="clear" w:pos="0"/>
          <w:tab w:val="right" w:pos="22560"/>
        </w:tabs>
        <w:spacing w:before="120" w:after="240"/>
        <w:ind w:firstLine="0"/>
      </w:pPr>
      <w:r w:rsidRPr="009B5B82">
        <w:rPr>
          <w:rFonts w:cs="Tahoma"/>
        </w:rPr>
        <w:t>Purpose</w:t>
      </w:r>
    </w:p>
    <w:p w14:paraId="320C4BDB" w14:textId="44A67EC4" w:rsidR="00F97859" w:rsidRDefault="00014ADB" w:rsidP="00F97859">
      <w:pPr>
        <w:pStyle w:val="Body"/>
        <w:spacing w:after="180"/>
        <w:ind w:right="240"/>
      </w:pPr>
      <w:r w:rsidRPr="00014ADB">
        <w:rPr>
          <w:lang w:val="en-CA"/>
        </w:rPr>
        <w:t xml:space="preserve">The </w:t>
      </w:r>
      <w:r w:rsidRPr="00014ADB">
        <w:rPr>
          <w:i/>
          <w:lang w:val="en-CA"/>
        </w:rPr>
        <w:t>Indigenous Knowledge and Perspectives: Cross-Curricular References in Grade 9</w:t>
      </w:r>
      <w:r>
        <w:rPr>
          <w:i/>
          <w:lang w:val="en-CA"/>
        </w:rPr>
        <w:t xml:space="preserve"> </w:t>
      </w:r>
      <w:r w:rsidRPr="00014ADB">
        <w:rPr>
          <w:lang w:val="en-CA"/>
        </w:rPr>
        <w:t xml:space="preserve">resource is intended to support teachers in authentically integrating Indigenous knowledge and perspectives into their classrooms. This resource provides a cross-curricular overview of the explicit and implicit references to Indigenous knowledge and perspectives in the Big Ideas, Curricular Competencies, and Content across all subject areas in the Grade 9 </w:t>
      </w:r>
      <w:r>
        <w:rPr>
          <w:lang w:val="en-CA"/>
        </w:rPr>
        <w:t>curriculum.</w:t>
      </w:r>
    </w:p>
    <w:p w14:paraId="1CC6D712" w14:textId="77777777" w:rsidR="00F97859" w:rsidRDefault="00F97859" w:rsidP="00F97859">
      <w:pPr>
        <w:pStyle w:val="Header3"/>
      </w:pPr>
      <w:r w:rsidRPr="009B5B82">
        <w:t>Explicit References</w:t>
      </w:r>
    </w:p>
    <w:p w14:paraId="13357E18" w14:textId="7BC30C8E" w:rsidR="00F97859" w:rsidRDefault="00014ADB" w:rsidP="00F97859">
      <w:pPr>
        <w:pStyle w:val="Body"/>
        <w:ind w:right="240"/>
      </w:pPr>
      <w:r w:rsidRPr="00014ADB">
        <w:rPr>
          <w:lang w:val="en-CA"/>
        </w:rPr>
        <w:t>Explicit references include the Big Ideas, Curricular Competencies, and Content that directly refer to Indigenous knowledge and perspectives. For example, the Grade 9 Mathematics curriculum includes the following explicit reference:</w:t>
      </w:r>
    </w:p>
    <w:p w14:paraId="06332D2C" w14:textId="0C69AC89" w:rsidR="00F97859" w:rsidRPr="00E93DF0" w:rsidRDefault="00014ADB" w:rsidP="00F97859">
      <w:pPr>
        <w:pStyle w:val="Body"/>
        <w:spacing w:after="180"/>
        <w:rPr>
          <w:b/>
          <w:bCs/>
          <w:lang w:val="en-CA"/>
        </w:rPr>
      </w:pPr>
      <w:r w:rsidRPr="00014ADB">
        <w:rPr>
          <w:lang w:val="en-CA"/>
        </w:rPr>
        <w:t xml:space="preserve">Mathematics, Curricular Competency, </w:t>
      </w:r>
      <w:proofErr w:type="gramStart"/>
      <w:r w:rsidRPr="00014ADB">
        <w:rPr>
          <w:b/>
          <w:lang w:val="en-CA"/>
        </w:rPr>
        <w:t>Engage</w:t>
      </w:r>
      <w:proofErr w:type="gramEnd"/>
      <w:r w:rsidRPr="00014ADB">
        <w:rPr>
          <w:b/>
          <w:lang w:val="en-CA"/>
        </w:rPr>
        <w:t xml:space="preserve"> in problem-solving experiences that are connected to place, story, cultural practices, and perspectives relevant to local First Peoples communities, the local community, and other cultures</w:t>
      </w:r>
    </w:p>
    <w:p w14:paraId="08AFA8C6" w14:textId="77777777" w:rsidR="00F97859" w:rsidRDefault="00F97859" w:rsidP="00F97859">
      <w:pPr>
        <w:pStyle w:val="Header3"/>
      </w:pPr>
      <w:r>
        <w:br w:type="column"/>
      </w:r>
      <w:r w:rsidRPr="009B5B82">
        <w:lastRenderedPageBreak/>
        <w:t>Implicit References</w:t>
      </w:r>
    </w:p>
    <w:p w14:paraId="55EA6FA6" w14:textId="197F3747" w:rsidR="00F97859" w:rsidRDefault="00014ADB" w:rsidP="00F97859">
      <w:pPr>
        <w:pStyle w:val="Body"/>
        <w:ind w:right="240"/>
      </w:pPr>
      <w:r w:rsidRPr="00014ADB">
        <w:rPr>
          <w:lang w:val="en-CA"/>
        </w:rPr>
        <w:t xml:space="preserve">Implicit references are Big Ideas, Curricular Competencies, and Content that indirectly refer to Indigenous knowledge and perspectives. For example, the Grade 9 Arts curriculum includes the following </w:t>
      </w:r>
      <w:r w:rsidRPr="00014ADB">
        <w:rPr>
          <w:lang w:val="en-CA"/>
        </w:rPr>
        <w:br/>
        <w:t>implicit reference:</w:t>
      </w:r>
    </w:p>
    <w:p w14:paraId="1DCA043B" w14:textId="7FDE0229" w:rsidR="00F97859" w:rsidRPr="00F97859" w:rsidRDefault="00014ADB" w:rsidP="00F97859">
      <w:pPr>
        <w:pStyle w:val="Body"/>
        <w:ind w:right="240"/>
        <w:rPr>
          <w:b/>
          <w:lang w:val="en-CA"/>
        </w:rPr>
      </w:pPr>
      <w:r w:rsidRPr="00014ADB">
        <w:rPr>
          <w:lang w:val="en-CA"/>
        </w:rPr>
        <w:t xml:space="preserve">Arts, Content, </w:t>
      </w:r>
      <w:r w:rsidRPr="00014ADB">
        <w:rPr>
          <w:b/>
          <w:lang w:val="en-CA"/>
        </w:rPr>
        <w:t>traditional and contemporary Aboriginal arts and arts-making processes</w:t>
      </w:r>
    </w:p>
    <w:p w14:paraId="6A110580" w14:textId="77777777" w:rsidR="00F97859" w:rsidRPr="002C409C" w:rsidRDefault="00F97859" w:rsidP="00F97859">
      <w:pPr>
        <w:rPr>
          <w:sz w:val="2"/>
          <w:szCs w:val="2"/>
        </w:rPr>
      </w:pPr>
    </w:p>
    <w:p w14:paraId="2A0CF6F0" w14:textId="4E788F96" w:rsidR="00F97859" w:rsidRDefault="00F97859" w:rsidP="00F97859">
      <w:pPr>
        <w:pStyle w:val="Body"/>
      </w:pPr>
      <w:r w:rsidRPr="002C409C">
        <w:rPr>
          <w:noProof/>
          <w:sz w:val="2"/>
          <w:szCs w:val="2"/>
        </w:rPr>
        <w:drawing>
          <wp:anchor distT="0" distB="0" distL="114300" distR="114300" simplePos="0" relativeHeight="251659264" behindDoc="0" locked="0" layoutInCell="1" allowOverlap="1" wp14:anchorId="1D52CA19" wp14:editId="0C1FDC6E">
            <wp:simplePos x="0" y="0"/>
            <wp:positionH relativeFrom="column">
              <wp:posOffset>4659630</wp:posOffset>
            </wp:positionH>
            <wp:positionV relativeFrom="paragraph">
              <wp:posOffset>132080</wp:posOffset>
            </wp:positionV>
            <wp:extent cx="2489200" cy="1930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3">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F97859">
        <w:rPr>
          <w:lang w:val="en-CA"/>
        </w:rPr>
        <w:t>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w:t>
      </w:r>
    </w:p>
    <w:p w14:paraId="4E6A1D31" w14:textId="0D601D10" w:rsidR="00F97859" w:rsidRDefault="00F97859" w:rsidP="00F97859">
      <w:pPr>
        <w:pStyle w:val="Body"/>
        <w:ind w:right="240"/>
      </w:pPr>
      <w:r>
        <w:rPr>
          <w:lang w:val="en-CA"/>
        </w:rPr>
        <w:t>N</w:t>
      </w:r>
      <w:r w:rsidRPr="00F97859">
        <w:rPr>
          <w:lang w:val="en-CA"/>
        </w:rPr>
        <w:t xml:space="preserve">ote on Elaborations: Explicit references to Indigenous knowledge and perspectives that are found within the </w:t>
      </w:r>
      <w:r w:rsidRPr="00F97859">
        <w:rPr>
          <w:iCs/>
          <w:lang w:val="en-CA"/>
        </w:rPr>
        <w:t>Elaborations</w:t>
      </w:r>
      <w:r w:rsidRPr="00F97859">
        <w:rPr>
          <w:lang w:val="en-CA"/>
        </w:rPr>
        <w:t xml:space="preserve"> of Big Ideas, Curricular Competencies, or Content are considered </w:t>
      </w:r>
      <w:r w:rsidRPr="00F97859">
        <w:rPr>
          <w:i/>
          <w:lang w:val="en-CA"/>
        </w:rPr>
        <w:t>implicit</w:t>
      </w:r>
      <w:r w:rsidRPr="00F97859">
        <w:rPr>
          <w:lang w:val="en-CA"/>
        </w:rPr>
        <w:t xml:space="preserve"> unless they are accompanied by an explicit reference in the Big Ideas, Curricular Competencies, or Content. </w:t>
      </w:r>
    </w:p>
    <w:p w14:paraId="57EECFFE" w14:textId="77777777" w:rsidR="00F97859" w:rsidRDefault="00F97859" w:rsidP="00F97859">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F97859" w14:paraId="40C84ABE" w14:textId="77777777" w:rsidTr="00DE3CCC">
        <w:trPr>
          <w:trHeight w:val="348"/>
        </w:trPr>
        <w:tc>
          <w:tcPr>
            <w:tcW w:w="1791" w:type="dxa"/>
            <w:shd w:val="clear" w:color="auto" w:fill="FEEDDB"/>
          </w:tcPr>
          <w:p w14:paraId="7FAE3263" w14:textId="77777777" w:rsidR="00F97859" w:rsidRPr="00D408AA" w:rsidRDefault="00F97859" w:rsidP="00DE3CCC">
            <w:pPr>
              <w:pStyle w:val="Header3"/>
              <w:spacing w:before="60" w:after="6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3D58160B" wp14:editId="775272AB">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58D00E7A" w14:textId="77777777" w:rsidR="00F97859" w:rsidRPr="00D408AA" w:rsidRDefault="00F97859" w:rsidP="00DE3CCC">
            <w:pPr>
              <w:pStyle w:val="Header3"/>
              <w:spacing w:before="60" w:after="60"/>
              <w:ind w:left="258"/>
              <w:rPr>
                <w:color w:val="000000" w:themeColor="text1"/>
                <w:sz w:val="22"/>
                <w:szCs w:val="22"/>
              </w:rPr>
            </w:pPr>
            <w:r w:rsidRPr="00D408AA">
              <w:rPr>
                <w:color w:val="000000" w:themeColor="text1"/>
                <w:sz w:val="22"/>
                <w:szCs w:val="22"/>
              </w:rPr>
              <w:t>Mandated Learning Standard</w:t>
            </w:r>
          </w:p>
        </w:tc>
      </w:tr>
      <w:tr w:rsidR="00F97859" w14:paraId="6DAF0EAF" w14:textId="77777777" w:rsidTr="00DE3CCC">
        <w:tc>
          <w:tcPr>
            <w:tcW w:w="1791" w:type="dxa"/>
            <w:shd w:val="clear" w:color="auto" w:fill="FEEDDB"/>
          </w:tcPr>
          <w:p w14:paraId="5EE82E7E" w14:textId="77777777" w:rsidR="00F97859" w:rsidRPr="00D408AA" w:rsidRDefault="00F97859" w:rsidP="00014ADB">
            <w:pPr>
              <w:pStyle w:val="Header3"/>
              <w:numPr>
                <w:ilvl w:val="0"/>
                <w:numId w:val="5"/>
              </w:numPr>
              <w:spacing w:before="60" w:after="60"/>
              <w:jc w:val="center"/>
              <w:rPr>
                <w:noProof/>
                <w:color w:val="000000" w:themeColor="text1"/>
                <w:sz w:val="22"/>
                <w:szCs w:val="22"/>
              </w:rPr>
            </w:pPr>
          </w:p>
        </w:tc>
        <w:tc>
          <w:tcPr>
            <w:tcW w:w="3960" w:type="dxa"/>
            <w:shd w:val="clear" w:color="auto" w:fill="FEEDDB"/>
          </w:tcPr>
          <w:p w14:paraId="0C4C7EF4" w14:textId="77777777" w:rsidR="00F97859" w:rsidRPr="00D408AA" w:rsidRDefault="00F97859" w:rsidP="00DE3CCC">
            <w:pPr>
              <w:pStyle w:val="Header3"/>
              <w:spacing w:before="60" w:after="60"/>
              <w:ind w:left="258"/>
              <w:rPr>
                <w:b w:val="0"/>
                <w:color w:val="000000" w:themeColor="text1"/>
                <w:sz w:val="22"/>
                <w:szCs w:val="22"/>
              </w:rPr>
            </w:pPr>
            <w:r w:rsidRPr="00D408AA">
              <w:rPr>
                <w:b w:val="0"/>
                <w:color w:val="000000" w:themeColor="text1"/>
                <w:sz w:val="22"/>
                <w:szCs w:val="22"/>
              </w:rPr>
              <w:t>Sub-points of a Learning Standard</w:t>
            </w:r>
          </w:p>
        </w:tc>
      </w:tr>
      <w:tr w:rsidR="00F97859" w14:paraId="426BDA80" w14:textId="77777777" w:rsidTr="00DE3CCC">
        <w:trPr>
          <w:trHeight w:val="324"/>
        </w:trPr>
        <w:tc>
          <w:tcPr>
            <w:tcW w:w="1791" w:type="dxa"/>
            <w:shd w:val="clear" w:color="auto" w:fill="FEEDDB"/>
          </w:tcPr>
          <w:p w14:paraId="6FD34AAE" w14:textId="77777777" w:rsidR="00F97859" w:rsidRPr="00D408AA" w:rsidRDefault="00F97859" w:rsidP="00014ADB">
            <w:pPr>
              <w:pStyle w:val="Header3"/>
              <w:numPr>
                <w:ilvl w:val="0"/>
                <w:numId w:val="6"/>
              </w:numPr>
              <w:spacing w:before="120" w:after="60"/>
              <w:jc w:val="center"/>
              <w:rPr>
                <w:noProof/>
                <w:color w:val="000000" w:themeColor="text1"/>
                <w:sz w:val="22"/>
                <w:szCs w:val="22"/>
              </w:rPr>
            </w:pPr>
          </w:p>
        </w:tc>
        <w:tc>
          <w:tcPr>
            <w:tcW w:w="3960" w:type="dxa"/>
            <w:shd w:val="clear" w:color="auto" w:fill="FEEDDB"/>
          </w:tcPr>
          <w:p w14:paraId="17E4DFD6" w14:textId="77777777" w:rsidR="00F97859" w:rsidRPr="00D408AA" w:rsidRDefault="00F97859" w:rsidP="00DE3CCC">
            <w:pPr>
              <w:pStyle w:val="Header3"/>
              <w:spacing w:before="120" w:after="60"/>
              <w:ind w:left="258"/>
              <w:rPr>
                <w:b w:val="0"/>
                <w:color w:val="000000" w:themeColor="text1"/>
                <w:sz w:val="22"/>
                <w:szCs w:val="22"/>
              </w:rPr>
            </w:pPr>
            <w:r w:rsidRPr="00D408AA">
              <w:rPr>
                <w:b w:val="0"/>
                <w:i/>
                <w:color w:val="000000" w:themeColor="text1"/>
                <w:sz w:val="22"/>
                <w:szCs w:val="22"/>
              </w:rPr>
              <w:t>Elaborations</w:t>
            </w:r>
          </w:p>
        </w:tc>
      </w:tr>
      <w:tr w:rsidR="00F97859" w14:paraId="2198562C" w14:textId="77777777" w:rsidTr="00DE3CCC">
        <w:trPr>
          <w:trHeight w:val="276"/>
        </w:trPr>
        <w:tc>
          <w:tcPr>
            <w:tcW w:w="1791" w:type="dxa"/>
            <w:shd w:val="clear" w:color="auto" w:fill="FEEDDB"/>
          </w:tcPr>
          <w:p w14:paraId="3EAA3E76" w14:textId="77777777" w:rsidR="00F97859" w:rsidRPr="00D408AA" w:rsidRDefault="00F97859" w:rsidP="00014ADB">
            <w:pPr>
              <w:pStyle w:val="Header3"/>
              <w:numPr>
                <w:ilvl w:val="0"/>
                <w:numId w:val="7"/>
              </w:numPr>
              <w:spacing w:before="60" w:after="60"/>
              <w:jc w:val="center"/>
              <w:rPr>
                <w:noProof/>
                <w:color w:val="000000" w:themeColor="text1"/>
                <w:sz w:val="22"/>
                <w:szCs w:val="22"/>
              </w:rPr>
            </w:pPr>
          </w:p>
        </w:tc>
        <w:tc>
          <w:tcPr>
            <w:tcW w:w="3960" w:type="dxa"/>
            <w:shd w:val="clear" w:color="auto" w:fill="FEEDDB"/>
          </w:tcPr>
          <w:p w14:paraId="242B062B" w14:textId="77777777" w:rsidR="00F97859" w:rsidRPr="00D408AA" w:rsidRDefault="00F97859" w:rsidP="00DE3CCC">
            <w:pPr>
              <w:pStyle w:val="Header3"/>
              <w:spacing w:before="60" w:after="60"/>
              <w:ind w:left="258"/>
              <w:rPr>
                <w:b w:val="0"/>
                <w:i/>
                <w:color w:val="000000" w:themeColor="text1"/>
                <w:sz w:val="22"/>
                <w:szCs w:val="22"/>
              </w:rPr>
            </w:pPr>
            <w:r w:rsidRPr="00D408AA">
              <w:rPr>
                <w:b w:val="0"/>
                <w:i/>
                <w:color w:val="000000" w:themeColor="text1"/>
                <w:sz w:val="22"/>
                <w:szCs w:val="22"/>
              </w:rPr>
              <w:t>Key questions or samples</w:t>
            </w:r>
          </w:p>
        </w:tc>
      </w:tr>
    </w:tbl>
    <w:p w14:paraId="6C2E9273" w14:textId="77777777" w:rsidR="00F97859" w:rsidRDefault="00F97859" w:rsidP="00F97859">
      <w:pPr>
        <w:pStyle w:val="Body"/>
        <w:spacing w:after="0"/>
      </w:pPr>
    </w:p>
    <w:p w14:paraId="51B53605" w14:textId="77777777" w:rsidR="00F97859" w:rsidRDefault="00F97859" w:rsidP="00F97859">
      <w:pPr>
        <w:pStyle w:val="Body"/>
      </w:pPr>
    </w:p>
    <w:p w14:paraId="2FE63B8E" w14:textId="77777777" w:rsidR="00F97859" w:rsidRPr="009B5B82" w:rsidRDefault="00F97859" w:rsidP="00F97859"/>
    <w:p w14:paraId="2E8772FB" w14:textId="77777777" w:rsidR="00F97859" w:rsidRDefault="00F97859" w:rsidP="00F97859">
      <w:pPr>
        <w:rPr>
          <w:rFonts w:cs="Tahoma"/>
        </w:rPr>
        <w:sectPr w:rsidR="00F97859" w:rsidSect="00431E5F">
          <w:type w:val="continuous"/>
          <w:pgSz w:w="24480" w:h="15800" w:orient="landscape"/>
          <w:pgMar w:top="960" w:right="960" w:bottom="960" w:left="960" w:header="720" w:footer="560" w:gutter="0"/>
          <w:pgNumType w:start="1"/>
          <w:cols w:num="2" w:space="720"/>
          <w:docGrid w:linePitch="326"/>
          <w:printerSettings r:id="rId15"/>
        </w:sectPr>
      </w:pPr>
    </w:p>
    <w:p w14:paraId="7CE48985" w14:textId="67F5641F" w:rsidR="00D901BD" w:rsidRDefault="004D4C72" w:rsidP="00D46048">
      <w:pPr>
        <w:pStyle w:val="Header2"/>
        <w:pBdr>
          <w:bottom w:val="single" w:sz="4" w:space="1" w:color="auto"/>
        </w:pBdr>
        <w:tabs>
          <w:tab w:val="clear" w:pos="0"/>
          <w:tab w:val="right" w:pos="22560"/>
        </w:tabs>
        <w:spacing w:after="360"/>
        <w:ind w:firstLine="0"/>
        <w:rPr>
          <w:rFonts w:cs="Tahoma"/>
        </w:rPr>
      </w:pPr>
      <w:r w:rsidRPr="004D4C72">
        <w:rPr>
          <w:rFonts w:cs="Tahoma"/>
        </w:rPr>
        <w:lastRenderedPageBreak/>
        <w:t>Indigenous Knowledge and Perspectives: Cross-Curricular References</w:t>
      </w:r>
      <w:r w:rsidR="00751AEB">
        <w:rPr>
          <w:rFonts w:cs="Tahoma"/>
        </w:rPr>
        <w:t xml:space="preserve"> K–9</w:t>
      </w:r>
      <w:r w:rsidR="00D46048">
        <w:rPr>
          <w:rFonts w:cs="Tahoma"/>
        </w:rPr>
        <w:tab/>
      </w:r>
      <w:r w:rsidR="00D46048" w:rsidRPr="00D46048">
        <w:rPr>
          <w:rFonts w:cstheme="minorHAnsi"/>
        </w:rPr>
        <w:t xml:space="preserve">Grade </w:t>
      </w:r>
      <w:r w:rsidR="00014ADB">
        <w:rPr>
          <w:rFonts w:cstheme="minorHAnsi"/>
        </w:rPr>
        <w:t>9</w:t>
      </w:r>
    </w:p>
    <w:p w14:paraId="5CE6E5FA" w14:textId="4B8EC976" w:rsidR="00D544A0" w:rsidRDefault="00D544A0" w:rsidP="00D46048">
      <w:pPr>
        <w:pStyle w:val="Body"/>
        <w:tabs>
          <w:tab w:val="right" w:pos="22560"/>
        </w:tabs>
        <w:spacing w:after="60"/>
      </w:pPr>
    </w:p>
    <w:tbl>
      <w:tblPr>
        <w:tblStyle w:val="TableGrid"/>
        <w:tblW w:w="0" w:type="auto"/>
        <w:tblInd w:w="1" w:type="dxa"/>
        <w:tblLook w:val="04A0" w:firstRow="1" w:lastRow="0" w:firstColumn="1" w:lastColumn="0" w:noHBand="0" w:noVBand="1"/>
      </w:tblPr>
      <w:tblGrid>
        <w:gridCol w:w="502"/>
        <w:gridCol w:w="1070"/>
        <w:gridCol w:w="1575"/>
        <w:gridCol w:w="1597"/>
        <w:gridCol w:w="1490"/>
        <w:gridCol w:w="2811"/>
        <w:gridCol w:w="2309"/>
        <w:gridCol w:w="2095"/>
        <w:gridCol w:w="2185"/>
        <w:gridCol w:w="1559"/>
        <w:gridCol w:w="1730"/>
        <w:gridCol w:w="1865"/>
        <w:gridCol w:w="1761"/>
      </w:tblGrid>
      <w:tr w:rsidR="00014ADB" w14:paraId="3143F8A9" w14:textId="77777777" w:rsidTr="00014ADB">
        <w:tc>
          <w:tcPr>
            <w:tcW w:w="1566" w:type="dxa"/>
            <w:gridSpan w:val="2"/>
            <w:vAlign w:val="bottom"/>
          </w:tcPr>
          <w:p w14:paraId="49570324" w14:textId="51B79636" w:rsidR="00D46048" w:rsidRPr="004D4C72" w:rsidRDefault="00D46048" w:rsidP="004D4C72">
            <w:pPr>
              <w:jc w:val="center"/>
              <w:rPr>
                <w:rFonts w:ascii="Century Gothic" w:hAnsi="Century Gothic"/>
                <w:b/>
                <w:sz w:val="20"/>
                <w:szCs w:val="20"/>
              </w:rPr>
            </w:pPr>
          </w:p>
        </w:tc>
        <w:tc>
          <w:tcPr>
            <w:tcW w:w="1575" w:type="dxa"/>
            <w:shd w:val="clear" w:color="auto" w:fill="FEECBC"/>
            <w:vAlign w:val="center"/>
          </w:tcPr>
          <w:p w14:paraId="2A205CD0" w14:textId="709B2087" w:rsidR="00D46048" w:rsidRPr="004D4C72" w:rsidRDefault="00D46048" w:rsidP="00D46048">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597" w:type="dxa"/>
            <w:shd w:val="clear" w:color="auto" w:fill="FEECBC"/>
            <w:vAlign w:val="center"/>
          </w:tcPr>
          <w:p w14:paraId="36955E25" w14:textId="0A3BBF9A"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Arts</w:t>
            </w:r>
          </w:p>
        </w:tc>
        <w:tc>
          <w:tcPr>
            <w:tcW w:w="1490" w:type="dxa"/>
            <w:shd w:val="clear" w:color="auto" w:fill="FEECBC"/>
            <w:vAlign w:val="center"/>
          </w:tcPr>
          <w:p w14:paraId="1B498F54" w14:textId="3132385C"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Career Ed.</w:t>
            </w:r>
          </w:p>
        </w:tc>
        <w:tc>
          <w:tcPr>
            <w:tcW w:w="2812" w:type="dxa"/>
            <w:shd w:val="clear" w:color="auto" w:fill="FEECBC"/>
            <w:vAlign w:val="center"/>
          </w:tcPr>
          <w:p w14:paraId="700C53D8" w14:textId="6EA8EAD9"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ELA</w:t>
            </w:r>
          </w:p>
        </w:tc>
        <w:tc>
          <w:tcPr>
            <w:tcW w:w="2310" w:type="dxa"/>
            <w:shd w:val="clear" w:color="auto" w:fill="FEECBC"/>
            <w:vAlign w:val="center"/>
          </w:tcPr>
          <w:p w14:paraId="23F96681" w14:textId="3884CC45" w:rsidR="00D46048" w:rsidRPr="00792C7E" w:rsidRDefault="00D46048" w:rsidP="00D46048">
            <w:pPr>
              <w:jc w:val="center"/>
              <w:rPr>
                <w:rFonts w:ascii="Century Gothic" w:hAnsi="Century Gothic"/>
                <w:b/>
                <w:sz w:val="20"/>
                <w:szCs w:val="20"/>
                <w:lang w:val="fr-CA"/>
              </w:rPr>
            </w:pPr>
            <w:r w:rsidRPr="00792C7E">
              <w:rPr>
                <w:rFonts w:ascii="Century Gothic" w:hAnsi="Century Gothic"/>
                <w:b/>
                <w:sz w:val="20"/>
                <w:szCs w:val="20"/>
                <w:lang w:val="fr-CA"/>
              </w:rPr>
              <w:t>Français langue première</w:t>
            </w:r>
          </w:p>
        </w:tc>
        <w:tc>
          <w:tcPr>
            <w:tcW w:w="2096" w:type="dxa"/>
            <w:shd w:val="clear" w:color="auto" w:fill="FEECBC"/>
            <w:vAlign w:val="center"/>
          </w:tcPr>
          <w:p w14:paraId="31DE1F08" w14:textId="0333564F" w:rsidR="00D46048" w:rsidRPr="00792C7E" w:rsidRDefault="00D46048" w:rsidP="00D46048">
            <w:pPr>
              <w:jc w:val="center"/>
              <w:rPr>
                <w:rFonts w:ascii="Century Gothic" w:hAnsi="Century Gothic"/>
                <w:b/>
                <w:sz w:val="20"/>
                <w:szCs w:val="20"/>
                <w:lang w:val="fr-CA"/>
              </w:rPr>
            </w:pPr>
            <w:r w:rsidRPr="00792C7E">
              <w:rPr>
                <w:rFonts w:ascii="Century Gothic" w:hAnsi="Century Gothic"/>
                <w:b/>
                <w:sz w:val="20"/>
                <w:szCs w:val="20"/>
                <w:lang w:val="fr-CA"/>
              </w:rPr>
              <w:t xml:space="preserve">Français langue seconde </w:t>
            </w:r>
            <w:r w:rsidR="00792C7E" w:rsidRPr="00792C7E">
              <w:rPr>
                <w:rFonts w:ascii="Century Gothic" w:hAnsi="Century Gothic"/>
                <w:b/>
                <w:sz w:val="20"/>
                <w:szCs w:val="20"/>
                <w:lang w:val="fr-CA"/>
              </w:rPr>
              <w:t>–</w:t>
            </w:r>
            <w:r w:rsidRPr="00792C7E">
              <w:rPr>
                <w:rFonts w:ascii="Century Gothic" w:hAnsi="Century Gothic"/>
                <w:b/>
                <w:sz w:val="20"/>
                <w:szCs w:val="20"/>
                <w:lang w:val="fr-CA"/>
              </w:rPr>
              <w:t xml:space="preserve"> immersion</w:t>
            </w:r>
          </w:p>
        </w:tc>
        <w:tc>
          <w:tcPr>
            <w:tcW w:w="2186" w:type="dxa"/>
            <w:shd w:val="clear" w:color="auto" w:fill="FEECBC"/>
            <w:vAlign w:val="center"/>
          </w:tcPr>
          <w:p w14:paraId="31594A47" w14:textId="56E96C60"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Languages</w:t>
            </w:r>
          </w:p>
        </w:tc>
        <w:tc>
          <w:tcPr>
            <w:tcW w:w="1559" w:type="dxa"/>
            <w:shd w:val="clear" w:color="auto" w:fill="FEECBC"/>
            <w:vAlign w:val="center"/>
          </w:tcPr>
          <w:p w14:paraId="49834D80" w14:textId="53EF94F6"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Mathematics</w:t>
            </w:r>
          </w:p>
        </w:tc>
        <w:tc>
          <w:tcPr>
            <w:tcW w:w="1731" w:type="dxa"/>
            <w:shd w:val="clear" w:color="auto" w:fill="FEECBC"/>
            <w:vAlign w:val="center"/>
          </w:tcPr>
          <w:p w14:paraId="4D40FAD2" w14:textId="29328566" w:rsidR="00D46048" w:rsidRPr="004D4C72" w:rsidRDefault="00D46048" w:rsidP="00D46048">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865" w:type="dxa"/>
            <w:shd w:val="clear" w:color="auto" w:fill="FEECBC"/>
            <w:vAlign w:val="center"/>
          </w:tcPr>
          <w:p w14:paraId="50E32387" w14:textId="12346057"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Science</w:t>
            </w:r>
          </w:p>
        </w:tc>
        <w:tc>
          <w:tcPr>
            <w:tcW w:w="1762" w:type="dxa"/>
            <w:shd w:val="clear" w:color="auto" w:fill="FEECBC"/>
            <w:vAlign w:val="center"/>
          </w:tcPr>
          <w:p w14:paraId="34D6D8B2" w14:textId="7E60AB9D"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Social Studies</w:t>
            </w:r>
          </w:p>
        </w:tc>
      </w:tr>
      <w:tr w:rsidR="00014ADB" w14:paraId="14836DD4" w14:textId="77777777" w:rsidTr="00014ADB">
        <w:tc>
          <w:tcPr>
            <w:tcW w:w="502" w:type="dxa"/>
            <w:vMerge w:val="restart"/>
            <w:shd w:val="clear" w:color="auto" w:fill="4A5F7C"/>
            <w:textDirection w:val="btLr"/>
          </w:tcPr>
          <w:p w14:paraId="63C01AA4" w14:textId="37882E9F" w:rsidR="00D46048" w:rsidRPr="00D46048" w:rsidRDefault="00D46048" w:rsidP="00D46048">
            <w:pPr>
              <w:pStyle w:val="Body"/>
              <w:spacing w:after="0"/>
              <w:ind w:left="113" w:right="113"/>
              <w:jc w:val="center"/>
              <w:rPr>
                <w:rFonts w:ascii="Century Gothic" w:hAnsi="Century Gothic"/>
                <w:b/>
                <w:sz w:val="28"/>
                <w:szCs w:val="28"/>
              </w:rPr>
            </w:pPr>
            <w:r w:rsidRPr="00D46048">
              <w:rPr>
                <w:rFonts w:ascii="Century Gothic" w:hAnsi="Century Gothic"/>
                <w:b/>
                <w:color w:val="FFFFFF" w:themeColor="background1"/>
                <w:sz w:val="28"/>
                <w:szCs w:val="28"/>
              </w:rPr>
              <w:t>Big Ideas</w:t>
            </w:r>
          </w:p>
        </w:tc>
        <w:tc>
          <w:tcPr>
            <w:tcW w:w="1064" w:type="dxa"/>
            <w:tcBorders>
              <w:bottom w:val="single" w:sz="4" w:space="0" w:color="auto"/>
            </w:tcBorders>
          </w:tcPr>
          <w:p w14:paraId="17A736A0" w14:textId="29C77429" w:rsidR="00D46048" w:rsidRPr="00D46048" w:rsidRDefault="00D46048" w:rsidP="00D544A0">
            <w:pPr>
              <w:pStyle w:val="Body"/>
              <w:rPr>
                <w:rFonts w:ascii="Century Gothic" w:hAnsi="Century Gothic"/>
                <w:b/>
              </w:rPr>
            </w:pPr>
            <w:r w:rsidRPr="00D46048">
              <w:rPr>
                <w:rFonts w:ascii="Century Gothic" w:hAnsi="Century Gothic"/>
                <w:b/>
              </w:rPr>
              <w:t>Explicit</w:t>
            </w:r>
          </w:p>
        </w:tc>
        <w:tc>
          <w:tcPr>
            <w:tcW w:w="1575" w:type="dxa"/>
            <w:tcBorders>
              <w:bottom w:val="single" w:sz="4" w:space="0" w:color="auto"/>
            </w:tcBorders>
          </w:tcPr>
          <w:p w14:paraId="04E759B1" w14:textId="77777777" w:rsidR="00D46048" w:rsidRDefault="00D46048" w:rsidP="00D544A0">
            <w:pPr>
              <w:pStyle w:val="Body"/>
            </w:pPr>
          </w:p>
        </w:tc>
        <w:tc>
          <w:tcPr>
            <w:tcW w:w="1597" w:type="dxa"/>
            <w:tcBorders>
              <w:bottom w:val="single" w:sz="4" w:space="0" w:color="auto"/>
            </w:tcBorders>
          </w:tcPr>
          <w:p w14:paraId="3A688C4E" w14:textId="77777777" w:rsidR="00D46048" w:rsidRDefault="00D46048" w:rsidP="00D544A0">
            <w:pPr>
              <w:pStyle w:val="Body"/>
            </w:pPr>
          </w:p>
        </w:tc>
        <w:tc>
          <w:tcPr>
            <w:tcW w:w="1490" w:type="dxa"/>
            <w:tcBorders>
              <w:bottom w:val="single" w:sz="4" w:space="0" w:color="auto"/>
            </w:tcBorders>
          </w:tcPr>
          <w:p w14:paraId="57DB5E3B" w14:textId="77777777" w:rsidR="00D46048" w:rsidRDefault="00D46048" w:rsidP="00D544A0">
            <w:pPr>
              <w:pStyle w:val="Body"/>
            </w:pPr>
          </w:p>
        </w:tc>
        <w:tc>
          <w:tcPr>
            <w:tcW w:w="2812" w:type="dxa"/>
            <w:tcBorders>
              <w:bottom w:val="single" w:sz="4" w:space="0" w:color="auto"/>
            </w:tcBorders>
          </w:tcPr>
          <w:p w14:paraId="15BAEBBB" w14:textId="77777777" w:rsidR="00D46048" w:rsidRDefault="00D46048" w:rsidP="00D544A0">
            <w:pPr>
              <w:pStyle w:val="Body"/>
            </w:pPr>
          </w:p>
        </w:tc>
        <w:tc>
          <w:tcPr>
            <w:tcW w:w="2310" w:type="dxa"/>
            <w:tcBorders>
              <w:bottom w:val="single" w:sz="4" w:space="0" w:color="auto"/>
            </w:tcBorders>
          </w:tcPr>
          <w:p w14:paraId="3EF226CC" w14:textId="512AC7D3" w:rsidR="00D46048" w:rsidRDefault="00BB4AEE" w:rsidP="00014ADB">
            <w:pPr>
              <w:pStyle w:val="Tablebodybold"/>
            </w:pPr>
            <w:r w:rsidRPr="00BB4AEE">
              <w:t>Through their interactions, Aboriginal peoples and Francophone communities in Canada influence each other’s languages and cultures.</w:t>
            </w:r>
          </w:p>
        </w:tc>
        <w:tc>
          <w:tcPr>
            <w:tcW w:w="2096" w:type="dxa"/>
            <w:tcBorders>
              <w:bottom w:val="single" w:sz="4" w:space="0" w:color="auto"/>
            </w:tcBorders>
          </w:tcPr>
          <w:p w14:paraId="6AC72CFC" w14:textId="77777777" w:rsidR="00D46048" w:rsidRDefault="00D46048" w:rsidP="00D544A0">
            <w:pPr>
              <w:pStyle w:val="Body"/>
            </w:pPr>
          </w:p>
        </w:tc>
        <w:tc>
          <w:tcPr>
            <w:tcW w:w="2186" w:type="dxa"/>
            <w:tcBorders>
              <w:bottom w:val="single" w:sz="4" w:space="0" w:color="auto"/>
            </w:tcBorders>
          </w:tcPr>
          <w:p w14:paraId="7615A752" w14:textId="77777777" w:rsidR="00D46048" w:rsidRDefault="00D46048" w:rsidP="00D544A0">
            <w:pPr>
              <w:pStyle w:val="Body"/>
            </w:pPr>
          </w:p>
        </w:tc>
        <w:tc>
          <w:tcPr>
            <w:tcW w:w="1559" w:type="dxa"/>
            <w:tcBorders>
              <w:bottom w:val="single" w:sz="4" w:space="0" w:color="auto"/>
            </w:tcBorders>
          </w:tcPr>
          <w:p w14:paraId="37C0E4A8" w14:textId="77777777" w:rsidR="00D46048" w:rsidRDefault="00D46048" w:rsidP="00D544A0">
            <w:pPr>
              <w:pStyle w:val="Body"/>
            </w:pPr>
          </w:p>
        </w:tc>
        <w:tc>
          <w:tcPr>
            <w:tcW w:w="1731" w:type="dxa"/>
            <w:tcBorders>
              <w:bottom w:val="single" w:sz="4" w:space="0" w:color="auto"/>
            </w:tcBorders>
          </w:tcPr>
          <w:p w14:paraId="7E10E236" w14:textId="77777777" w:rsidR="00D46048" w:rsidRDefault="00D46048" w:rsidP="00D544A0">
            <w:pPr>
              <w:pStyle w:val="Body"/>
            </w:pPr>
          </w:p>
        </w:tc>
        <w:tc>
          <w:tcPr>
            <w:tcW w:w="1865" w:type="dxa"/>
            <w:tcBorders>
              <w:bottom w:val="single" w:sz="4" w:space="0" w:color="auto"/>
            </w:tcBorders>
          </w:tcPr>
          <w:p w14:paraId="68C32202" w14:textId="77777777" w:rsidR="00D46048" w:rsidRDefault="00D46048" w:rsidP="00D544A0">
            <w:pPr>
              <w:pStyle w:val="Body"/>
            </w:pPr>
          </w:p>
        </w:tc>
        <w:tc>
          <w:tcPr>
            <w:tcW w:w="1762" w:type="dxa"/>
            <w:tcBorders>
              <w:bottom w:val="single" w:sz="4" w:space="0" w:color="auto"/>
            </w:tcBorders>
          </w:tcPr>
          <w:p w14:paraId="20FC9240" w14:textId="323693CB" w:rsidR="00D46048" w:rsidRDefault="00D46048" w:rsidP="002B2C2C">
            <w:pPr>
              <w:pStyle w:val="Tablebodybold"/>
            </w:pPr>
          </w:p>
        </w:tc>
      </w:tr>
      <w:tr w:rsidR="00014ADB" w14:paraId="0228C1B0" w14:textId="77777777" w:rsidTr="00014ADB">
        <w:tc>
          <w:tcPr>
            <w:tcW w:w="502" w:type="dxa"/>
            <w:vMerge/>
            <w:shd w:val="clear" w:color="auto" w:fill="4A5F7C"/>
          </w:tcPr>
          <w:p w14:paraId="11E3F24B" w14:textId="77777777" w:rsidR="00014ADB" w:rsidRDefault="00014ADB" w:rsidP="00D544A0">
            <w:pPr>
              <w:pStyle w:val="Body"/>
            </w:pPr>
          </w:p>
        </w:tc>
        <w:tc>
          <w:tcPr>
            <w:tcW w:w="1064" w:type="dxa"/>
            <w:shd w:val="clear" w:color="auto" w:fill="F2F2F2" w:themeFill="background1" w:themeFillShade="F2"/>
          </w:tcPr>
          <w:p w14:paraId="111929EC" w14:textId="5BCAE5EF" w:rsidR="00014ADB" w:rsidRPr="00D46048" w:rsidRDefault="00014ADB" w:rsidP="00D544A0">
            <w:pPr>
              <w:pStyle w:val="Body"/>
              <w:rPr>
                <w:rFonts w:ascii="Century Gothic" w:hAnsi="Century Gothic"/>
                <w:b/>
              </w:rPr>
            </w:pPr>
            <w:r w:rsidRPr="00D46048">
              <w:rPr>
                <w:rFonts w:ascii="Century Gothic" w:hAnsi="Century Gothic"/>
                <w:b/>
              </w:rPr>
              <w:t>Implicit</w:t>
            </w:r>
          </w:p>
        </w:tc>
        <w:tc>
          <w:tcPr>
            <w:tcW w:w="1575" w:type="dxa"/>
            <w:shd w:val="clear" w:color="auto" w:fill="F2F2F2" w:themeFill="background1" w:themeFillShade="F2"/>
          </w:tcPr>
          <w:p w14:paraId="0D69F64A" w14:textId="0AAEDC2A" w:rsidR="00014ADB" w:rsidRDefault="00014ADB" w:rsidP="00014ADB">
            <w:pPr>
              <w:pStyle w:val="Tablebodybold"/>
            </w:pPr>
            <w:r>
              <w:rPr>
                <w:lang w:val="en-CA"/>
              </w:rPr>
              <w:t>Social, ethical, and sustainability considerations impact design.</w:t>
            </w:r>
          </w:p>
        </w:tc>
        <w:tc>
          <w:tcPr>
            <w:tcW w:w="1597" w:type="dxa"/>
            <w:shd w:val="clear" w:color="auto" w:fill="F2F2F2" w:themeFill="background1" w:themeFillShade="F2"/>
          </w:tcPr>
          <w:p w14:paraId="611E2F9E" w14:textId="77777777" w:rsidR="00014ADB" w:rsidRDefault="00014ADB" w:rsidP="00014ADB">
            <w:pPr>
              <w:pStyle w:val="Tablebodybold"/>
              <w:rPr>
                <w:lang w:val="en-CA"/>
              </w:rPr>
            </w:pPr>
            <w:r>
              <w:rPr>
                <w:lang w:val="en-CA"/>
              </w:rPr>
              <w:t>Identity is explored, expressed, and impacted through arts experiences.</w:t>
            </w:r>
          </w:p>
          <w:p w14:paraId="5686346C" w14:textId="5A70BEE4" w:rsidR="00014ADB" w:rsidRDefault="00014ADB" w:rsidP="00014ADB">
            <w:pPr>
              <w:pStyle w:val="Tablebodybold"/>
              <w:rPr>
                <w:lang w:val="en-CA"/>
              </w:rPr>
            </w:pPr>
            <w:r>
              <w:rPr>
                <w:lang w:val="en-CA"/>
              </w:rPr>
              <w:t>The arts provide opportunities to gain insight into the perspectives and experiences of people from a variety of times, places, and cultures.</w:t>
            </w:r>
          </w:p>
          <w:p w14:paraId="759605A6" w14:textId="77777777" w:rsidR="00014ADB" w:rsidRPr="00565FDF" w:rsidRDefault="00014ADB" w:rsidP="00014ADB">
            <w:pPr>
              <w:pStyle w:val="Tablebodybold"/>
            </w:pPr>
            <w:r>
              <w:rPr>
                <w:lang w:val="en-CA"/>
              </w:rPr>
              <w:t>Creative arts experiences can build community and nurture relationships with others.</w:t>
            </w:r>
          </w:p>
          <w:p w14:paraId="351A2729" w14:textId="7140E1AA" w:rsidR="00014ADB" w:rsidRDefault="00014ADB" w:rsidP="00BB4AEE">
            <w:pPr>
              <w:pStyle w:val="Tablebodybold"/>
            </w:pPr>
          </w:p>
        </w:tc>
        <w:tc>
          <w:tcPr>
            <w:tcW w:w="1490" w:type="dxa"/>
            <w:shd w:val="clear" w:color="auto" w:fill="F2F2F2" w:themeFill="background1" w:themeFillShade="F2"/>
          </w:tcPr>
          <w:p w14:paraId="62F76414" w14:textId="77777777" w:rsidR="00014ADB" w:rsidRPr="001515F8" w:rsidRDefault="00014ADB" w:rsidP="00014ADB">
            <w:pPr>
              <w:pStyle w:val="Tablebodybold"/>
            </w:pPr>
            <w:r w:rsidRPr="001515F8">
              <w:t>The value of work in our lives, communities, and society can be viewed from diverse</w:t>
            </w:r>
            <w:r>
              <w:t xml:space="preserve"> </w:t>
            </w:r>
            <w:r w:rsidRPr="001515F8">
              <w:t>perspectives.</w:t>
            </w:r>
          </w:p>
          <w:p w14:paraId="475D252A" w14:textId="47C73738" w:rsidR="00014ADB" w:rsidRDefault="00014ADB" w:rsidP="00014ADB">
            <w:pPr>
              <w:pStyle w:val="Tablebodybold"/>
            </w:pPr>
            <w:r w:rsidRPr="001515F8">
              <w:t>Our career paths reflect the personal, community, and educational choices we make.</w:t>
            </w:r>
          </w:p>
        </w:tc>
        <w:tc>
          <w:tcPr>
            <w:tcW w:w="2812" w:type="dxa"/>
            <w:shd w:val="clear" w:color="auto" w:fill="F2F2F2" w:themeFill="background1" w:themeFillShade="F2"/>
          </w:tcPr>
          <w:p w14:paraId="12CABD51" w14:textId="77777777" w:rsidR="00014ADB" w:rsidRPr="00476037" w:rsidRDefault="00014ADB" w:rsidP="00014ADB">
            <w:pPr>
              <w:pStyle w:val="Tablebodybold"/>
            </w:pPr>
            <w:r w:rsidRPr="00476037">
              <w:t xml:space="preserve">Exploring stories and other texts helps us understand ourselves and make connections to others and to the world. </w:t>
            </w:r>
          </w:p>
          <w:p w14:paraId="06CD8081" w14:textId="77777777" w:rsidR="00014ADB" w:rsidRPr="00476037" w:rsidRDefault="00014ADB" w:rsidP="00014ADB">
            <w:pPr>
              <w:pStyle w:val="Keyquestions"/>
            </w:pPr>
            <w:r w:rsidRPr="00476037">
              <w:t xml:space="preserve">story/stories: </w:t>
            </w:r>
          </w:p>
          <w:p w14:paraId="14C7918F" w14:textId="77777777" w:rsidR="00014ADB" w:rsidRPr="00476037" w:rsidRDefault="00014ADB" w:rsidP="00014ADB">
            <w:pPr>
              <w:pStyle w:val="Bullet"/>
            </w:pPr>
            <w:r w:rsidRPr="00476037">
              <w:t>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14:paraId="4727D35F" w14:textId="77777777" w:rsidR="00014ADB" w:rsidRPr="00476037" w:rsidRDefault="00014ADB" w:rsidP="00014ADB">
            <w:pPr>
              <w:pStyle w:val="Keyquestions"/>
            </w:pPr>
            <w:r w:rsidRPr="00476037">
              <w:t xml:space="preserve">Text/texts: </w:t>
            </w:r>
          </w:p>
          <w:p w14:paraId="5DE4B4BC" w14:textId="0DCD64ED" w:rsidR="00014ADB" w:rsidRPr="00476037" w:rsidRDefault="00014ADB" w:rsidP="00014ADB">
            <w:pPr>
              <w:pStyle w:val="Bullet"/>
            </w:pPr>
            <w:r w:rsidRPr="00476037">
              <w:t>Text and texts are generic terms referring to all forms of oral, written, visual, and digital communication: -oral texts include speeches, poems, plays, and oral stories, - written texts include novels, articles, and short stories, - visual texts include posters, photographs, and other images, - digital texts include electronic forms of all of the above, - oral, written, and visual elements can be combined (e.g., in dramatic presentations, graphic novels, films, web pages, advertisements).</w:t>
            </w:r>
          </w:p>
          <w:p w14:paraId="29F6663E" w14:textId="77777777" w:rsidR="00014ADB" w:rsidRPr="00001199" w:rsidRDefault="00014ADB" w:rsidP="00014ADB">
            <w:pPr>
              <w:pStyle w:val="Tablebodybold"/>
            </w:pPr>
            <w:r w:rsidRPr="00001199">
              <w:t>People understand text differently depending on their worldview and perspectives.</w:t>
            </w:r>
          </w:p>
          <w:p w14:paraId="5B678ADB" w14:textId="2D79370B" w:rsidR="00014ADB" w:rsidRDefault="00014ADB" w:rsidP="00014ADB">
            <w:pPr>
              <w:pStyle w:val="Tablebodybold"/>
            </w:pPr>
            <w:r w:rsidRPr="00001199">
              <w:t>Texts are socially, culturally, and historically constructed.</w:t>
            </w:r>
          </w:p>
        </w:tc>
        <w:tc>
          <w:tcPr>
            <w:tcW w:w="2310" w:type="dxa"/>
            <w:shd w:val="clear" w:color="auto" w:fill="F2F2F2" w:themeFill="background1" w:themeFillShade="F2"/>
          </w:tcPr>
          <w:p w14:paraId="1E415BD1" w14:textId="77777777" w:rsidR="00014ADB" w:rsidRDefault="00014ADB" w:rsidP="00014ADB">
            <w:pPr>
              <w:pStyle w:val="Tablebodybold"/>
              <w:rPr>
                <w:lang w:val="en-CA"/>
              </w:rPr>
            </w:pPr>
            <w:r>
              <w:rPr>
                <w:lang w:val="en-CA"/>
              </w:rPr>
              <w:t>Authors can cast a critical gaze on social issues through their works.</w:t>
            </w:r>
          </w:p>
          <w:p w14:paraId="06641DD7" w14:textId="7A75278F" w:rsidR="00014ADB" w:rsidRDefault="00014ADB" w:rsidP="00014ADB">
            <w:pPr>
              <w:pStyle w:val="Tablebodybold"/>
              <w:rPr>
                <w:lang w:val="en-CA"/>
              </w:rPr>
            </w:pPr>
            <w:r>
              <w:rPr>
                <w:lang w:val="en-CA"/>
              </w:rPr>
              <w:t>Certain texts are timeless and, as such, reflect values that transcend the social context from which they emerge.</w:t>
            </w:r>
          </w:p>
          <w:p w14:paraId="49D966CB" w14:textId="77777777" w:rsidR="00014ADB" w:rsidRDefault="00014ADB" w:rsidP="00014ADB">
            <w:pPr>
              <w:pStyle w:val="Keyquestions"/>
              <w:rPr>
                <w:lang w:val="en-CA"/>
              </w:rPr>
            </w:pPr>
            <w:r>
              <w:rPr>
                <w:lang w:val="en-CA"/>
              </w:rPr>
              <w:t xml:space="preserve">texts: </w:t>
            </w:r>
          </w:p>
          <w:p w14:paraId="2E46E227" w14:textId="601183B4" w:rsidR="00014ADB" w:rsidRPr="00BB4AEE" w:rsidRDefault="00014ADB" w:rsidP="00014ADB">
            <w:pPr>
              <w:pStyle w:val="Bullet"/>
            </w:pPr>
            <w:r w:rsidRPr="00014ADB">
              <w:rPr>
                <w:lang w:val="en-CA"/>
              </w:rPr>
              <w:t>a text is a coherent set of written, oral or visual elements that convey meaning and serve to communicate or transmit a message. Texts have numerous representations and can be in the form of Aboriginal narratives, articles, advertising, novels, picture story books, legends, comic books, biographies, correspondence,</w:t>
            </w:r>
            <w:r>
              <w:rPr>
                <w:lang w:val="en-CA"/>
              </w:rPr>
              <w:t xml:space="preserve"> invitations, instructions, diagrams, charts, news stories, films, songs, poems, nursery rhymes, photographs, totem poles, images, works of art, oral presentations, blogs, </w:t>
            </w:r>
            <w:r w:rsidRPr="00575751">
              <w:rPr>
                <w:lang w:val="en-CA"/>
              </w:rPr>
              <w:t>surveys, reports, text messages, videos, television programs, etc.</w:t>
            </w:r>
          </w:p>
        </w:tc>
        <w:tc>
          <w:tcPr>
            <w:tcW w:w="2096" w:type="dxa"/>
            <w:shd w:val="clear" w:color="auto" w:fill="F2F2F2" w:themeFill="background1" w:themeFillShade="F2"/>
          </w:tcPr>
          <w:p w14:paraId="46C256FC" w14:textId="77777777" w:rsidR="00014ADB" w:rsidRDefault="00014ADB" w:rsidP="00014ADB">
            <w:pPr>
              <w:pStyle w:val="Tablebodybold"/>
              <w:rPr>
                <w:lang w:val="en-CA"/>
              </w:rPr>
            </w:pPr>
            <w:r>
              <w:rPr>
                <w:lang w:val="en-CA"/>
              </w:rPr>
              <w:t>Language is a cultural tool, the common thread of knowledge and values.</w:t>
            </w:r>
          </w:p>
          <w:p w14:paraId="705ECFE7" w14:textId="2F9B90C3" w:rsidR="00014ADB" w:rsidRDefault="00014ADB" w:rsidP="00014ADB">
            <w:pPr>
              <w:pStyle w:val="Tablebodybold"/>
            </w:pPr>
            <w:r>
              <w:rPr>
                <w:lang w:val="en-CA"/>
              </w:rPr>
              <w:t>Literature reflects the reality of society at the time and its questions and preoccupations.</w:t>
            </w:r>
          </w:p>
        </w:tc>
        <w:tc>
          <w:tcPr>
            <w:tcW w:w="2186" w:type="dxa"/>
            <w:shd w:val="clear" w:color="auto" w:fill="F2F2F2" w:themeFill="background1" w:themeFillShade="F2"/>
          </w:tcPr>
          <w:p w14:paraId="60C39393" w14:textId="77777777" w:rsidR="00014ADB" w:rsidRPr="008A2A37" w:rsidRDefault="00014ADB" w:rsidP="00014ADB">
            <w:pPr>
              <w:pStyle w:val="Tablebodybold"/>
              <w:rPr>
                <w:i/>
                <w:lang w:val="en-CA"/>
              </w:rPr>
            </w:pPr>
            <w:proofErr w:type="spellStart"/>
            <w:r w:rsidRPr="008A2A37">
              <w:rPr>
                <w:i/>
                <w:lang w:val="en-CA"/>
              </w:rPr>
              <w:t>ASL</w:t>
            </w:r>
            <w:proofErr w:type="spellEnd"/>
            <w:r w:rsidRPr="008A2A37">
              <w:rPr>
                <w:i/>
                <w:lang w:val="en-CA"/>
              </w:rPr>
              <w:t>, Core French, German, Italian, Japanese, Korean, Mandarin, Punjabi, Spanish:</w:t>
            </w:r>
          </w:p>
          <w:p w14:paraId="4A014F22" w14:textId="77777777" w:rsidR="00014ADB" w:rsidRPr="00875EC4" w:rsidRDefault="00014ADB" w:rsidP="00014ADB">
            <w:pPr>
              <w:pStyle w:val="Tablebodybold"/>
            </w:pPr>
            <w:r>
              <w:rPr>
                <w:lang w:val="en-CA"/>
              </w:rPr>
              <w:t>We can share our experiences and perspectives through stories</w:t>
            </w:r>
            <w:r w:rsidRPr="00875EC4">
              <w:rPr>
                <w:lang w:val="en-CA"/>
              </w:rPr>
              <w:t>.</w:t>
            </w:r>
          </w:p>
          <w:p w14:paraId="2F45B84C" w14:textId="77777777" w:rsidR="00014ADB" w:rsidRPr="00875EC4" w:rsidRDefault="00014ADB" w:rsidP="00014ADB">
            <w:pPr>
              <w:pStyle w:val="Bullet"/>
              <w:rPr>
                <w:lang w:val="en-CA"/>
              </w:rPr>
            </w:pPr>
            <w:r w:rsidRPr="00875EC4">
              <w:rPr>
                <w:lang w:val="en-CA"/>
              </w:rPr>
              <w:t xml:space="preserve">Stories are a narrative form of text that can be written or visual. Stories are derived from truth or fiction and may be used to seek and impart knowledge, entertain, share history, and strengthen a sense of identity. </w:t>
            </w:r>
          </w:p>
          <w:p w14:paraId="20BC197F" w14:textId="77777777" w:rsidR="00014ADB" w:rsidRPr="008A2A37" w:rsidRDefault="00014ADB" w:rsidP="00014ADB">
            <w:pPr>
              <w:pStyle w:val="Tablebodybold"/>
              <w:rPr>
                <w:i/>
                <w:lang w:val="en-CA"/>
              </w:rPr>
            </w:pPr>
            <w:r w:rsidRPr="008A2A37">
              <w:rPr>
                <w:i/>
                <w:lang w:val="en-CA"/>
              </w:rPr>
              <w:t>Core French:</w:t>
            </w:r>
          </w:p>
          <w:p w14:paraId="6B2AE777" w14:textId="77777777" w:rsidR="00014ADB" w:rsidRPr="004C49EF" w:rsidRDefault="00014ADB" w:rsidP="00014ADB">
            <w:pPr>
              <w:pStyle w:val="Tablebodybold"/>
              <w:rPr>
                <w:lang w:val="en-CA"/>
              </w:rPr>
            </w:pPr>
            <w:r w:rsidRPr="004C49EF">
              <w:rPr>
                <w:lang w:val="en-CA"/>
              </w:rPr>
              <w:t>Francophone creative works are expressions of Francophone culture</w:t>
            </w:r>
          </w:p>
          <w:p w14:paraId="67FEA143" w14:textId="77777777" w:rsidR="00014ADB" w:rsidRPr="008A2A37" w:rsidRDefault="00014ADB" w:rsidP="00014ADB">
            <w:pPr>
              <w:pStyle w:val="Tablebodybold"/>
              <w:rPr>
                <w:i/>
                <w:lang w:val="en-CA"/>
              </w:rPr>
            </w:pPr>
            <w:r w:rsidRPr="008A2A37">
              <w:rPr>
                <w:i/>
                <w:lang w:val="en-CA"/>
              </w:rPr>
              <w:t>German, Italian, Japanese, Korean, Mandarin, Punjabi, Spanish:</w:t>
            </w:r>
          </w:p>
          <w:p w14:paraId="2E7D69DF" w14:textId="77777777" w:rsidR="00014ADB" w:rsidRDefault="00014ADB" w:rsidP="00014ADB">
            <w:pPr>
              <w:pStyle w:val="Tablebodybold"/>
              <w:rPr>
                <w:lang w:val="en-CA"/>
              </w:rPr>
            </w:pPr>
            <w:r>
              <w:rPr>
                <w:lang w:val="en-CA"/>
              </w:rPr>
              <w:t>Creative works allow us to experience culture and appreciate cultural diversity.</w:t>
            </w:r>
          </w:p>
          <w:p w14:paraId="005AB3AD" w14:textId="36AD76A8" w:rsidR="00014ADB" w:rsidRPr="00014ADB" w:rsidRDefault="00014ADB" w:rsidP="00014ADB">
            <w:pPr>
              <w:pStyle w:val="Bullet"/>
              <w:rPr>
                <w:lang w:val="en-CA"/>
              </w:rPr>
            </w:pPr>
            <w:r w:rsidRPr="00BA2B95">
              <w:rPr>
                <w:lang w:val="en-CA"/>
              </w:rPr>
              <w:t>representing the experience of the people from whose culture they are drawn</w:t>
            </w:r>
            <w:r>
              <w:rPr>
                <w:lang w:val="en-CA"/>
              </w:rPr>
              <w:t xml:space="preserve"> </w:t>
            </w:r>
            <w:r w:rsidRPr="00BA2B95">
              <w:rPr>
                <w:lang w:val="en-CA"/>
              </w:rPr>
              <w:t>(e.g., painting, sculpture, theatre, dance, poetry and prose, filmmaking, musical</w:t>
            </w:r>
            <w:r>
              <w:rPr>
                <w:lang w:val="en-CA"/>
              </w:rPr>
              <w:t xml:space="preserve"> </w:t>
            </w:r>
            <w:r w:rsidRPr="00BA2B95">
              <w:rPr>
                <w:lang w:val="en-CA"/>
              </w:rPr>
              <w:t>composition, architecture)</w:t>
            </w:r>
          </w:p>
        </w:tc>
        <w:tc>
          <w:tcPr>
            <w:tcW w:w="1559" w:type="dxa"/>
            <w:shd w:val="clear" w:color="auto" w:fill="F2F2F2" w:themeFill="background1" w:themeFillShade="F2"/>
          </w:tcPr>
          <w:p w14:paraId="32ABB6E9" w14:textId="2181CAD8" w:rsidR="00014ADB" w:rsidRPr="001421AF" w:rsidRDefault="00014ADB" w:rsidP="001421AF"/>
        </w:tc>
        <w:tc>
          <w:tcPr>
            <w:tcW w:w="1731" w:type="dxa"/>
            <w:shd w:val="clear" w:color="auto" w:fill="F2F2F2" w:themeFill="background1" w:themeFillShade="F2"/>
          </w:tcPr>
          <w:p w14:paraId="0094D1EE" w14:textId="008FD238" w:rsidR="00014ADB" w:rsidRDefault="00014ADB" w:rsidP="00014ADB">
            <w:pPr>
              <w:pStyle w:val="Tablebodybold"/>
            </w:pPr>
            <w:r w:rsidRPr="00DA2CFF">
              <w:t>Advocating for the health and well-being of others connects us to our community.</w:t>
            </w:r>
          </w:p>
        </w:tc>
        <w:tc>
          <w:tcPr>
            <w:tcW w:w="1865" w:type="dxa"/>
            <w:shd w:val="clear" w:color="auto" w:fill="F2F2F2" w:themeFill="background1" w:themeFillShade="F2"/>
          </w:tcPr>
          <w:p w14:paraId="5DDCC1FD" w14:textId="77777777" w:rsidR="00014ADB" w:rsidRDefault="00014ADB" w:rsidP="00014ADB">
            <w:pPr>
              <w:pStyle w:val="Tablebodybold"/>
            </w:pPr>
            <w:r>
              <w:t>The biosphere, geosphere, hydrosphere, and atmosphere are interconnected, as matter cycles and energy flows through them.</w:t>
            </w:r>
          </w:p>
          <w:p w14:paraId="68464BAF" w14:textId="790AFD1B" w:rsidR="00014ADB" w:rsidRPr="001421AF" w:rsidRDefault="00014ADB" w:rsidP="00014ADB">
            <w:pPr>
              <w:pStyle w:val="Bullet"/>
            </w:pPr>
            <w:r>
              <w:t>How do First Peoples view the cycling of matter and energy?</w:t>
            </w:r>
          </w:p>
        </w:tc>
        <w:tc>
          <w:tcPr>
            <w:tcW w:w="1762" w:type="dxa"/>
            <w:shd w:val="clear" w:color="auto" w:fill="F2F2F2" w:themeFill="background1" w:themeFillShade="F2"/>
          </w:tcPr>
          <w:p w14:paraId="6BD26991" w14:textId="6C30A94D" w:rsidR="00014ADB" w:rsidRDefault="00014ADB" w:rsidP="00E867F8">
            <w:pPr>
              <w:pStyle w:val="Tablebodybold"/>
            </w:pPr>
          </w:p>
        </w:tc>
      </w:tr>
      <w:tr w:rsidR="00014ADB" w14:paraId="283FB7E4" w14:textId="77777777" w:rsidTr="0012094B">
        <w:tc>
          <w:tcPr>
            <w:tcW w:w="1566" w:type="dxa"/>
            <w:gridSpan w:val="2"/>
            <w:vAlign w:val="bottom"/>
          </w:tcPr>
          <w:p w14:paraId="07080AFC" w14:textId="77777777" w:rsidR="00014ADB" w:rsidRPr="004D4C72" w:rsidRDefault="00014ADB" w:rsidP="00014ADB">
            <w:pPr>
              <w:pageBreakBefore/>
              <w:jc w:val="center"/>
              <w:rPr>
                <w:rFonts w:ascii="Century Gothic" w:hAnsi="Century Gothic"/>
                <w:b/>
                <w:sz w:val="20"/>
                <w:szCs w:val="20"/>
              </w:rPr>
            </w:pPr>
          </w:p>
        </w:tc>
        <w:tc>
          <w:tcPr>
            <w:tcW w:w="1575" w:type="dxa"/>
            <w:shd w:val="clear" w:color="auto" w:fill="FEECBC"/>
            <w:vAlign w:val="center"/>
          </w:tcPr>
          <w:p w14:paraId="5A9A259C" w14:textId="77777777" w:rsidR="00014ADB" w:rsidRPr="004D4C72" w:rsidRDefault="00014ADB" w:rsidP="0012094B">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597" w:type="dxa"/>
            <w:shd w:val="clear" w:color="auto" w:fill="FEECBC"/>
            <w:vAlign w:val="center"/>
          </w:tcPr>
          <w:p w14:paraId="66A1B71F" w14:textId="77777777" w:rsidR="00014ADB" w:rsidRPr="004D4C72" w:rsidRDefault="00014ADB" w:rsidP="0012094B">
            <w:pPr>
              <w:jc w:val="center"/>
              <w:rPr>
                <w:rFonts w:ascii="Century Gothic" w:hAnsi="Century Gothic"/>
                <w:b/>
                <w:sz w:val="20"/>
                <w:szCs w:val="20"/>
              </w:rPr>
            </w:pPr>
            <w:r w:rsidRPr="004D4C72">
              <w:rPr>
                <w:rFonts w:ascii="Century Gothic" w:hAnsi="Century Gothic"/>
                <w:b/>
                <w:sz w:val="20"/>
                <w:szCs w:val="20"/>
              </w:rPr>
              <w:t>Arts</w:t>
            </w:r>
          </w:p>
        </w:tc>
        <w:tc>
          <w:tcPr>
            <w:tcW w:w="1490" w:type="dxa"/>
            <w:shd w:val="clear" w:color="auto" w:fill="FEECBC"/>
            <w:vAlign w:val="center"/>
          </w:tcPr>
          <w:p w14:paraId="64FB1E37" w14:textId="77777777" w:rsidR="00014ADB" w:rsidRPr="004D4C72" w:rsidRDefault="00014ADB" w:rsidP="0012094B">
            <w:pPr>
              <w:jc w:val="center"/>
              <w:rPr>
                <w:rFonts w:ascii="Century Gothic" w:hAnsi="Century Gothic"/>
                <w:b/>
                <w:sz w:val="20"/>
                <w:szCs w:val="20"/>
              </w:rPr>
            </w:pPr>
            <w:r w:rsidRPr="004D4C72">
              <w:rPr>
                <w:rFonts w:ascii="Century Gothic" w:hAnsi="Century Gothic"/>
                <w:b/>
                <w:sz w:val="20"/>
                <w:szCs w:val="20"/>
              </w:rPr>
              <w:t>Career Ed.</w:t>
            </w:r>
          </w:p>
        </w:tc>
        <w:tc>
          <w:tcPr>
            <w:tcW w:w="2812" w:type="dxa"/>
            <w:shd w:val="clear" w:color="auto" w:fill="FEECBC"/>
            <w:vAlign w:val="center"/>
          </w:tcPr>
          <w:p w14:paraId="10C30AC9" w14:textId="77777777" w:rsidR="00014ADB" w:rsidRPr="004D4C72" w:rsidRDefault="00014ADB" w:rsidP="0012094B">
            <w:pPr>
              <w:jc w:val="center"/>
              <w:rPr>
                <w:rFonts w:ascii="Century Gothic" w:hAnsi="Century Gothic"/>
                <w:b/>
                <w:sz w:val="20"/>
                <w:szCs w:val="20"/>
              </w:rPr>
            </w:pPr>
            <w:r w:rsidRPr="004D4C72">
              <w:rPr>
                <w:rFonts w:ascii="Century Gothic" w:hAnsi="Century Gothic"/>
                <w:b/>
                <w:sz w:val="20"/>
                <w:szCs w:val="20"/>
              </w:rPr>
              <w:t>ELA</w:t>
            </w:r>
          </w:p>
        </w:tc>
        <w:tc>
          <w:tcPr>
            <w:tcW w:w="2310" w:type="dxa"/>
            <w:shd w:val="clear" w:color="auto" w:fill="FEECBC"/>
            <w:vAlign w:val="center"/>
          </w:tcPr>
          <w:p w14:paraId="25817C97" w14:textId="77777777" w:rsidR="00014ADB" w:rsidRPr="00792C7E" w:rsidRDefault="00014ADB" w:rsidP="0012094B">
            <w:pPr>
              <w:jc w:val="center"/>
              <w:rPr>
                <w:rFonts w:ascii="Century Gothic" w:hAnsi="Century Gothic"/>
                <w:b/>
                <w:sz w:val="20"/>
                <w:szCs w:val="20"/>
                <w:lang w:val="fr-CA"/>
              </w:rPr>
            </w:pPr>
            <w:r w:rsidRPr="00792C7E">
              <w:rPr>
                <w:rFonts w:ascii="Century Gothic" w:hAnsi="Century Gothic"/>
                <w:b/>
                <w:sz w:val="20"/>
                <w:szCs w:val="20"/>
                <w:lang w:val="fr-CA"/>
              </w:rPr>
              <w:t>Français langue première</w:t>
            </w:r>
          </w:p>
        </w:tc>
        <w:tc>
          <w:tcPr>
            <w:tcW w:w="2096" w:type="dxa"/>
            <w:shd w:val="clear" w:color="auto" w:fill="FEECBC"/>
            <w:vAlign w:val="center"/>
          </w:tcPr>
          <w:p w14:paraId="73956FD7" w14:textId="77777777" w:rsidR="00014ADB" w:rsidRPr="00792C7E" w:rsidRDefault="00014ADB" w:rsidP="0012094B">
            <w:pPr>
              <w:jc w:val="center"/>
              <w:rPr>
                <w:rFonts w:ascii="Century Gothic" w:hAnsi="Century Gothic"/>
                <w:b/>
                <w:sz w:val="20"/>
                <w:szCs w:val="20"/>
                <w:lang w:val="fr-CA"/>
              </w:rPr>
            </w:pPr>
            <w:r w:rsidRPr="00792C7E">
              <w:rPr>
                <w:rFonts w:ascii="Century Gothic" w:hAnsi="Century Gothic"/>
                <w:b/>
                <w:sz w:val="20"/>
                <w:szCs w:val="20"/>
                <w:lang w:val="fr-CA"/>
              </w:rPr>
              <w:t>Français langue seconde – immersion</w:t>
            </w:r>
          </w:p>
        </w:tc>
        <w:tc>
          <w:tcPr>
            <w:tcW w:w="2186" w:type="dxa"/>
            <w:shd w:val="clear" w:color="auto" w:fill="FEECBC"/>
            <w:vAlign w:val="center"/>
          </w:tcPr>
          <w:p w14:paraId="46F073C8" w14:textId="77777777" w:rsidR="00014ADB" w:rsidRPr="004D4C72" w:rsidRDefault="00014ADB" w:rsidP="0012094B">
            <w:pPr>
              <w:jc w:val="center"/>
              <w:rPr>
                <w:rFonts w:ascii="Century Gothic" w:hAnsi="Century Gothic"/>
                <w:b/>
                <w:sz w:val="20"/>
                <w:szCs w:val="20"/>
              </w:rPr>
            </w:pPr>
            <w:r w:rsidRPr="004D4C72">
              <w:rPr>
                <w:rFonts w:ascii="Century Gothic" w:hAnsi="Century Gothic"/>
                <w:b/>
                <w:sz w:val="20"/>
                <w:szCs w:val="20"/>
              </w:rPr>
              <w:t>Languages</w:t>
            </w:r>
          </w:p>
        </w:tc>
        <w:tc>
          <w:tcPr>
            <w:tcW w:w="1559" w:type="dxa"/>
            <w:shd w:val="clear" w:color="auto" w:fill="FEECBC"/>
            <w:vAlign w:val="center"/>
          </w:tcPr>
          <w:p w14:paraId="1196900F" w14:textId="77777777" w:rsidR="00014ADB" w:rsidRPr="004D4C72" w:rsidRDefault="00014ADB" w:rsidP="0012094B">
            <w:pPr>
              <w:jc w:val="center"/>
              <w:rPr>
                <w:rFonts w:ascii="Century Gothic" w:hAnsi="Century Gothic"/>
                <w:b/>
                <w:sz w:val="20"/>
                <w:szCs w:val="20"/>
              </w:rPr>
            </w:pPr>
            <w:r w:rsidRPr="004D4C72">
              <w:rPr>
                <w:rFonts w:ascii="Century Gothic" w:hAnsi="Century Gothic"/>
                <w:b/>
                <w:sz w:val="20"/>
                <w:szCs w:val="20"/>
              </w:rPr>
              <w:t>Mathematics</w:t>
            </w:r>
          </w:p>
        </w:tc>
        <w:tc>
          <w:tcPr>
            <w:tcW w:w="1731" w:type="dxa"/>
            <w:shd w:val="clear" w:color="auto" w:fill="FEECBC"/>
            <w:vAlign w:val="center"/>
          </w:tcPr>
          <w:p w14:paraId="58213F1A" w14:textId="77777777" w:rsidR="00014ADB" w:rsidRPr="004D4C72" w:rsidRDefault="00014ADB" w:rsidP="0012094B">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865" w:type="dxa"/>
            <w:shd w:val="clear" w:color="auto" w:fill="FEECBC"/>
            <w:vAlign w:val="center"/>
          </w:tcPr>
          <w:p w14:paraId="0E7EB65E" w14:textId="77777777" w:rsidR="00014ADB" w:rsidRPr="004D4C72" w:rsidRDefault="00014ADB" w:rsidP="0012094B">
            <w:pPr>
              <w:jc w:val="center"/>
              <w:rPr>
                <w:rFonts w:ascii="Century Gothic" w:hAnsi="Century Gothic"/>
                <w:b/>
                <w:sz w:val="20"/>
                <w:szCs w:val="20"/>
              </w:rPr>
            </w:pPr>
            <w:r w:rsidRPr="004D4C72">
              <w:rPr>
                <w:rFonts w:ascii="Century Gothic" w:hAnsi="Century Gothic"/>
                <w:b/>
                <w:sz w:val="20"/>
                <w:szCs w:val="20"/>
              </w:rPr>
              <w:t>Science</w:t>
            </w:r>
          </w:p>
        </w:tc>
        <w:tc>
          <w:tcPr>
            <w:tcW w:w="1762" w:type="dxa"/>
            <w:shd w:val="clear" w:color="auto" w:fill="FEECBC"/>
            <w:vAlign w:val="center"/>
          </w:tcPr>
          <w:p w14:paraId="2E26F989" w14:textId="77777777" w:rsidR="00014ADB" w:rsidRPr="004D4C72" w:rsidRDefault="00014ADB" w:rsidP="0012094B">
            <w:pPr>
              <w:jc w:val="center"/>
              <w:rPr>
                <w:rFonts w:ascii="Century Gothic" w:hAnsi="Century Gothic"/>
                <w:b/>
                <w:sz w:val="20"/>
                <w:szCs w:val="20"/>
              </w:rPr>
            </w:pPr>
            <w:r w:rsidRPr="004D4C72">
              <w:rPr>
                <w:rFonts w:ascii="Century Gothic" w:hAnsi="Century Gothic"/>
                <w:b/>
                <w:sz w:val="20"/>
                <w:szCs w:val="20"/>
              </w:rPr>
              <w:t>Social Studies</w:t>
            </w:r>
          </w:p>
        </w:tc>
      </w:tr>
      <w:tr w:rsidR="00014ADB" w14:paraId="6EB00F85" w14:textId="77777777" w:rsidTr="00014ADB">
        <w:tc>
          <w:tcPr>
            <w:tcW w:w="502" w:type="dxa"/>
            <w:shd w:val="clear" w:color="auto" w:fill="4A5F7C"/>
          </w:tcPr>
          <w:p w14:paraId="38580254" w14:textId="77777777" w:rsidR="00014ADB" w:rsidRDefault="00014ADB" w:rsidP="00D544A0">
            <w:pPr>
              <w:pStyle w:val="Body"/>
            </w:pPr>
          </w:p>
        </w:tc>
        <w:tc>
          <w:tcPr>
            <w:tcW w:w="1064" w:type="dxa"/>
            <w:shd w:val="clear" w:color="auto" w:fill="F2F2F2" w:themeFill="background1" w:themeFillShade="F2"/>
          </w:tcPr>
          <w:p w14:paraId="235E2855" w14:textId="6AB08887" w:rsidR="00014ADB" w:rsidRPr="00D46048" w:rsidRDefault="00014ADB" w:rsidP="00D544A0">
            <w:pPr>
              <w:pStyle w:val="Body"/>
              <w:rPr>
                <w:rFonts w:ascii="Century Gothic" w:hAnsi="Century Gothic"/>
                <w:b/>
              </w:rPr>
            </w:pPr>
            <w:r w:rsidRPr="00D46048">
              <w:rPr>
                <w:rFonts w:ascii="Century Gothic" w:hAnsi="Century Gothic"/>
                <w:b/>
              </w:rPr>
              <w:t>Implicit</w:t>
            </w:r>
            <w:r>
              <w:rPr>
                <w:rFonts w:ascii="Century Gothic" w:hAnsi="Century Gothic"/>
                <w:b/>
              </w:rPr>
              <w:t xml:space="preserve"> (cont’d)</w:t>
            </w:r>
          </w:p>
        </w:tc>
        <w:tc>
          <w:tcPr>
            <w:tcW w:w="1575" w:type="dxa"/>
            <w:shd w:val="clear" w:color="auto" w:fill="F2F2F2" w:themeFill="background1" w:themeFillShade="F2"/>
          </w:tcPr>
          <w:p w14:paraId="6E3E1A38" w14:textId="77777777" w:rsidR="00014ADB" w:rsidRDefault="00014ADB" w:rsidP="00014ADB">
            <w:pPr>
              <w:pStyle w:val="Tablebodybold"/>
              <w:rPr>
                <w:lang w:val="en-CA"/>
              </w:rPr>
            </w:pPr>
          </w:p>
        </w:tc>
        <w:tc>
          <w:tcPr>
            <w:tcW w:w="1597" w:type="dxa"/>
            <w:shd w:val="clear" w:color="auto" w:fill="F2F2F2" w:themeFill="background1" w:themeFillShade="F2"/>
          </w:tcPr>
          <w:p w14:paraId="5F80D246" w14:textId="77777777" w:rsidR="00014ADB" w:rsidRDefault="00014ADB" w:rsidP="00014ADB">
            <w:pPr>
              <w:pStyle w:val="Tablebodybold"/>
              <w:rPr>
                <w:lang w:val="en-CA"/>
              </w:rPr>
            </w:pPr>
          </w:p>
        </w:tc>
        <w:tc>
          <w:tcPr>
            <w:tcW w:w="1490" w:type="dxa"/>
            <w:shd w:val="clear" w:color="auto" w:fill="F2F2F2" w:themeFill="background1" w:themeFillShade="F2"/>
          </w:tcPr>
          <w:p w14:paraId="6C0FB20D" w14:textId="77777777" w:rsidR="00014ADB" w:rsidRPr="001515F8" w:rsidRDefault="00014ADB" w:rsidP="00014ADB">
            <w:pPr>
              <w:pStyle w:val="Tablebodybold"/>
            </w:pPr>
          </w:p>
        </w:tc>
        <w:tc>
          <w:tcPr>
            <w:tcW w:w="2812" w:type="dxa"/>
            <w:shd w:val="clear" w:color="auto" w:fill="F2F2F2" w:themeFill="background1" w:themeFillShade="F2"/>
          </w:tcPr>
          <w:p w14:paraId="312E88C5" w14:textId="77777777" w:rsidR="00014ADB" w:rsidRPr="00476037" w:rsidRDefault="00014ADB" w:rsidP="00014ADB">
            <w:pPr>
              <w:pStyle w:val="Tablebodybold"/>
            </w:pPr>
          </w:p>
        </w:tc>
        <w:tc>
          <w:tcPr>
            <w:tcW w:w="2310" w:type="dxa"/>
            <w:shd w:val="clear" w:color="auto" w:fill="F2F2F2" w:themeFill="background1" w:themeFillShade="F2"/>
          </w:tcPr>
          <w:p w14:paraId="6141C4B5" w14:textId="77777777" w:rsidR="00014ADB" w:rsidRDefault="00014ADB" w:rsidP="00014ADB">
            <w:pPr>
              <w:pStyle w:val="Tablebodybold"/>
              <w:rPr>
                <w:lang w:val="en-CA"/>
              </w:rPr>
            </w:pPr>
          </w:p>
        </w:tc>
        <w:tc>
          <w:tcPr>
            <w:tcW w:w="2096" w:type="dxa"/>
            <w:shd w:val="clear" w:color="auto" w:fill="F2F2F2" w:themeFill="background1" w:themeFillShade="F2"/>
          </w:tcPr>
          <w:p w14:paraId="3324371C" w14:textId="77777777" w:rsidR="00014ADB" w:rsidRDefault="00014ADB" w:rsidP="00014ADB">
            <w:pPr>
              <w:pStyle w:val="Tablebodybold"/>
              <w:rPr>
                <w:lang w:val="en-CA"/>
              </w:rPr>
            </w:pPr>
          </w:p>
        </w:tc>
        <w:tc>
          <w:tcPr>
            <w:tcW w:w="2186" w:type="dxa"/>
            <w:shd w:val="clear" w:color="auto" w:fill="F2F2F2" w:themeFill="background1" w:themeFillShade="F2"/>
          </w:tcPr>
          <w:p w14:paraId="4E2EBDA5" w14:textId="77777777" w:rsidR="00014ADB" w:rsidRPr="008A2A37" w:rsidRDefault="00014ADB" w:rsidP="00014ADB">
            <w:pPr>
              <w:pStyle w:val="Tablebodybold"/>
              <w:rPr>
                <w:i/>
                <w:lang w:val="en-CA"/>
              </w:rPr>
            </w:pPr>
            <w:r w:rsidRPr="008A2A37">
              <w:rPr>
                <w:i/>
                <w:lang w:val="en-CA"/>
              </w:rPr>
              <w:t>Spanish 9 Entry:</w:t>
            </w:r>
          </w:p>
          <w:p w14:paraId="722E3D9A" w14:textId="77777777" w:rsidR="00014ADB" w:rsidRDefault="00014ADB" w:rsidP="00014ADB">
            <w:pPr>
              <w:pStyle w:val="Tablebodybold"/>
              <w:rPr>
                <w:lang w:val="en-CA"/>
              </w:rPr>
            </w:pPr>
            <w:r>
              <w:rPr>
                <w:lang w:val="en-CA"/>
              </w:rPr>
              <w:t>Stories help us to acquire language and understand the world around us.</w:t>
            </w:r>
          </w:p>
          <w:p w14:paraId="72FE34E7" w14:textId="77777777" w:rsidR="00014ADB" w:rsidRDefault="00014ADB" w:rsidP="00014ADB">
            <w:pPr>
              <w:pStyle w:val="Bullet"/>
              <w:rPr>
                <w:lang w:val="en-CA"/>
              </w:rPr>
            </w:pPr>
            <w:r w:rsidRPr="004C12B1">
              <w:rPr>
                <w:lang w:val="en-CA"/>
              </w:rPr>
              <w:t>Stories are a narrative form of text that can be written or visual. Stories are derived</w:t>
            </w:r>
            <w:r>
              <w:rPr>
                <w:lang w:val="en-CA"/>
              </w:rPr>
              <w:t xml:space="preserve"> </w:t>
            </w:r>
            <w:r w:rsidRPr="004C12B1">
              <w:rPr>
                <w:lang w:val="en-CA"/>
              </w:rPr>
              <w:t>from truth or fiction and may be used to seek and impart knowledge, entertain, share</w:t>
            </w:r>
            <w:r>
              <w:rPr>
                <w:lang w:val="en-CA"/>
              </w:rPr>
              <w:t xml:space="preserve"> </w:t>
            </w:r>
            <w:r w:rsidRPr="004C12B1">
              <w:rPr>
                <w:lang w:val="en-CA"/>
              </w:rPr>
              <w:t>history, and strengthen a sense of identity.</w:t>
            </w:r>
          </w:p>
          <w:p w14:paraId="1D407AC8" w14:textId="77777777" w:rsidR="00014ADB" w:rsidRDefault="00014ADB" w:rsidP="00014ADB">
            <w:pPr>
              <w:pStyle w:val="Bullet"/>
            </w:pPr>
            <w:r w:rsidRPr="00014ADB">
              <w:rPr>
                <w:lang w:val="en-CA"/>
              </w:rPr>
              <w:t>understand the world: by exploring, for example, thoughts</w:t>
            </w:r>
            <w:r w:rsidRPr="00014ADB">
              <w:t xml:space="preserve">, feelings, knowledge, culture, and identity </w:t>
            </w:r>
          </w:p>
          <w:p w14:paraId="4DB2FDAF" w14:textId="77777777" w:rsidR="00014ADB" w:rsidRPr="00014ADB" w:rsidRDefault="00014ADB" w:rsidP="00014ADB">
            <w:pPr>
              <w:pStyle w:val="Tablebodybold"/>
            </w:pPr>
            <w:r w:rsidRPr="00014ADB">
              <w:t>Creative works are an expression of language and culture.</w:t>
            </w:r>
          </w:p>
          <w:p w14:paraId="0F630178" w14:textId="66BAF0CC" w:rsidR="00014ADB" w:rsidRDefault="00014ADB" w:rsidP="00F3384D">
            <w:pPr>
              <w:pStyle w:val="Bullet"/>
              <w:spacing w:after="120"/>
              <w:rPr>
                <w:lang w:val="en-CA"/>
              </w:rPr>
            </w:pPr>
            <w:r w:rsidRPr="00476C58">
              <w:rPr>
                <w:lang w:val="en-CA"/>
              </w:rPr>
              <w:t>representing the experience of the people from whose culture they are drawn</w:t>
            </w:r>
            <w:r>
              <w:rPr>
                <w:lang w:val="en-CA"/>
              </w:rPr>
              <w:t xml:space="preserve"> </w:t>
            </w:r>
            <w:r w:rsidRPr="00476C58">
              <w:rPr>
                <w:lang w:val="en-CA"/>
              </w:rPr>
              <w:t>(e.g., painting, sculpture, theatre, dance, poetry and prose, filmmaking, musical</w:t>
            </w:r>
            <w:r>
              <w:rPr>
                <w:lang w:val="en-CA"/>
              </w:rPr>
              <w:t xml:space="preserve"> </w:t>
            </w:r>
            <w:r w:rsidRPr="00476C58">
              <w:rPr>
                <w:lang w:val="en-CA"/>
              </w:rPr>
              <w:t>composition, architecture)</w:t>
            </w:r>
          </w:p>
        </w:tc>
        <w:tc>
          <w:tcPr>
            <w:tcW w:w="1559" w:type="dxa"/>
            <w:shd w:val="clear" w:color="auto" w:fill="F2F2F2" w:themeFill="background1" w:themeFillShade="F2"/>
          </w:tcPr>
          <w:p w14:paraId="643C1954" w14:textId="77777777" w:rsidR="00014ADB" w:rsidRPr="001421AF" w:rsidRDefault="00014ADB" w:rsidP="001421AF"/>
        </w:tc>
        <w:tc>
          <w:tcPr>
            <w:tcW w:w="1731" w:type="dxa"/>
            <w:shd w:val="clear" w:color="auto" w:fill="F2F2F2" w:themeFill="background1" w:themeFillShade="F2"/>
          </w:tcPr>
          <w:p w14:paraId="70A4A951" w14:textId="77777777" w:rsidR="00014ADB" w:rsidRPr="00DA2CFF" w:rsidRDefault="00014ADB" w:rsidP="00014ADB">
            <w:pPr>
              <w:pStyle w:val="Tablebodybold"/>
            </w:pPr>
          </w:p>
        </w:tc>
        <w:tc>
          <w:tcPr>
            <w:tcW w:w="1865" w:type="dxa"/>
            <w:shd w:val="clear" w:color="auto" w:fill="F2F2F2" w:themeFill="background1" w:themeFillShade="F2"/>
          </w:tcPr>
          <w:p w14:paraId="780087A7" w14:textId="77777777" w:rsidR="00014ADB" w:rsidRDefault="00014ADB" w:rsidP="00014ADB">
            <w:pPr>
              <w:pStyle w:val="Tablebodybold"/>
            </w:pPr>
          </w:p>
        </w:tc>
        <w:tc>
          <w:tcPr>
            <w:tcW w:w="1762" w:type="dxa"/>
            <w:shd w:val="clear" w:color="auto" w:fill="F2F2F2" w:themeFill="background1" w:themeFillShade="F2"/>
          </w:tcPr>
          <w:p w14:paraId="4760FBFE" w14:textId="77777777" w:rsidR="00014ADB" w:rsidRDefault="00014ADB" w:rsidP="00E867F8">
            <w:pPr>
              <w:pStyle w:val="Tablebodybold"/>
            </w:pPr>
          </w:p>
        </w:tc>
      </w:tr>
    </w:tbl>
    <w:p w14:paraId="04DE1150" w14:textId="6CB9580B" w:rsidR="00860DB6" w:rsidRDefault="00860DB6"/>
    <w:tbl>
      <w:tblPr>
        <w:tblStyle w:val="TableGrid"/>
        <w:tblW w:w="0" w:type="auto"/>
        <w:tblInd w:w="1" w:type="dxa"/>
        <w:tblLayout w:type="fixed"/>
        <w:tblLook w:val="04A0" w:firstRow="1" w:lastRow="0" w:firstColumn="1" w:lastColumn="0" w:noHBand="0" w:noVBand="1"/>
      </w:tblPr>
      <w:tblGrid>
        <w:gridCol w:w="503"/>
        <w:gridCol w:w="986"/>
        <w:gridCol w:w="1144"/>
        <w:gridCol w:w="1167"/>
        <w:gridCol w:w="1312"/>
        <w:gridCol w:w="2968"/>
        <w:gridCol w:w="2519"/>
        <w:gridCol w:w="2520"/>
        <w:gridCol w:w="2520"/>
        <w:gridCol w:w="2721"/>
        <w:gridCol w:w="1049"/>
        <w:gridCol w:w="1864"/>
        <w:gridCol w:w="1276"/>
      </w:tblGrid>
      <w:tr w:rsidR="00E0544A" w14:paraId="122D179F" w14:textId="77777777" w:rsidTr="00E0544A">
        <w:tc>
          <w:tcPr>
            <w:tcW w:w="1489" w:type="dxa"/>
            <w:gridSpan w:val="2"/>
            <w:vAlign w:val="bottom"/>
          </w:tcPr>
          <w:p w14:paraId="2A3C6CBE" w14:textId="4FA4EB27" w:rsidR="00D46048" w:rsidRPr="004D4C72" w:rsidRDefault="00D46048" w:rsidP="00014ADB">
            <w:pPr>
              <w:pageBreakBefore/>
              <w:jc w:val="center"/>
              <w:rPr>
                <w:rFonts w:ascii="Century Gothic" w:hAnsi="Century Gothic"/>
                <w:b/>
                <w:sz w:val="20"/>
                <w:szCs w:val="20"/>
              </w:rPr>
            </w:pPr>
          </w:p>
        </w:tc>
        <w:tc>
          <w:tcPr>
            <w:tcW w:w="1144" w:type="dxa"/>
            <w:shd w:val="clear" w:color="auto" w:fill="FEECBC"/>
            <w:vAlign w:val="center"/>
          </w:tcPr>
          <w:p w14:paraId="6B247CBA" w14:textId="77777777"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167" w:type="dxa"/>
            <w:shd w:val="clear" w:color="auto" w:fill="FEECBC"/>
            <w:vAlign w:val="center"/>
          </w:tcPr>
          <w:p w14:paraId="71D1E540"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Arts</w:t>
            </w:r>
          </w:p>
        </w:tc>
        <w:tc>
          <w:tcPr>
            <w:tcW w:w="1312" w:type="dxa"/>
            <w:shd w:val="clear" w:color="auto" w:fill="FEECBC"/>
            <w:vAlign w:val="center"/>
          </w:tcPr>
          <w:p w14:paraId="1C54C7D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Career Ed.</w:t>
            </w:r>
          </w:p>
        </w:tc>
        <w:tc>
          <w:tcPr>
            <w:tcW w:w="2968" w:type="dxa"/>
            <w:shd w:val="clear" w:color="auto" w:fill="FEECBC"/>
            <w:vAlign w:val="center"/>
          </w:tcPr>
          <w:p w14:paraId="7B83DCE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ELA</w:t>
            </w:r>
          </w:p>
        </w:tc>
        <w:tc>
          <w:tcPr>
            <w:tcW w:w="2519" w:type="dxa"/>
            <w:shd w:val="clear" w:color="auto" w:fill="FEECBC"/>
            <w:vAlign w:val="center"/>
          </w:tcPr>
          <w:p w14:paraId="0CBF24B3" w14:textId="77777777"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2520" w:type="dxa"/>
            <w:shd w:val="clear" w:color="auto" w:fill="FEECBC"/>
            <w:vAlign w:val="center"/>
          </w:tcPr>
          <w:p w14:paraId="1BEFAE49" w14:textId="2B88608C"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2520" w:type="dxa"/>
            <w:shd w:val="clear" w:color="auto" w:fill="FEECBC"/>
            <w:vAlign w:val="center"/>
          </w:tcPr>
          <w:p w14:paraId="54FDF664"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Languages</w:t>
            </w:r>
          </w:p>
        </w:tc>
        <w:tc>
          <w:tcPr>
            <w:tcW w:w="2721" w:type="dxa"/>
            <w:shd w:val="clear" w:color="auto" w:fill="FEECBC"/>
            <w:vAlign w:val="center"/>
          </w:tcPr>
          <w:p w14:paraId="2DE24C4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Mathematics</w:t>
            </w:r>
          </w:p>
        </w:tc>
        <w:tc>
          <w:tcPr>
            <w:tcW w:w="1049" w:type="dxa"/>
            <w:shd w:val="clear" w:color="auto" w:fill="FEECBC"/>
            <w:vAlign w:val="center"/>
          </w:tcPr>
          <w:p w14:paraId="5D95BDA6" w14:textId="77777777"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864" w:type="dxa"/>
            <w:shd w:val="clear" w:color="auto" w:fill="FEECBC"/>
            <w:vAlign w:val="center"/>
          </w:tcPr>
          <w:p w14:paraId="5499726E"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Science</w:t>
            </w:r>
          </w:p>
        </w:tc>
        <w:tc>
          <w:tcPr>
            <w:tcW w:w="1276" w:type="dxa"/>
            <w:shd w:val="clear" w:color="auto" w:fill="FEECBC"/>
            <w:vAlign w:val="center"/>
          </w:tcPr>
          <w:p w14:paraId="1DC7B9B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014ADB" w14:paraId="6CF734D1" w14:textId="77777777" w:rsidTr="00E0544A">
        <w:tc>
          <w:tcPr>
            <w:tcW w:w="503" w:type="dxa"/>
            <w:shd w:val="clear" w:color="auto" w:fill="4A5F7C"/>
            <w:textDirection w:val="btLr"/>
          </w:tcPr>
          <w:p w14:paraId="66EFFCAF" w14:textId="2E9DF986" w:rsidR="00014ADB" w:rsidRPr="00D46048" w:rsidRDefault="00014ADB" w:rsidP="00792C7E">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Curricular Competencies</w:t>
            </w:r>
          </w:p>
        </w:tc>
        <w:tc>
          <w:tcPr>
            <w:tcW w:w="986" w:type="dxa"/>
            <w:tcBorders>
              <w:bottom w:val="single" w:sz="4" w:space="0" w:color="auto"/>
            </w:tcBorders>
          </w:tcPr>
          <w:p w14:paraId="1FBDC22F" w14:textId="77777777" w:rsidR="00014ADB" w:rsidRPr="00D46048" w:rsidRDefault="00014ADB" w:rsidP="00792C7E">
            <w:pPr>
              <w:pStyle w:val="Body"/>
              <w:rPr>
                <w:rFonts w:ascii="Century Gothic" w:hAnsi="Century Gothic"/>
                <w:b/>
              </w:rPr>
            </w:pPr>
            <w:r w:rsidRPr="00D46048">
              <w:rPr>
                <w:rFonts w:ascii="Century Gothic" w:hAnsi="Century Gothic"/>
                <w:b/>
              </w:rPr>
              <w:t>Explicit</w:t>
            </w:r>
          </w:p>
        </w:tc>
        <w:tc>
          <w:tcPr>
            <w:tcW w:w="1144" w:type="dxa"/>
            <w:tcBorders>
              <w:bottom w:val="single" w:sz="4" w:space="0" w:color="auto"/>
            </w:tcBorders>
          </w:tcPr>
          <w:p w14:paraId="4DCF3B2C" w14:textId="77777777" w:rsidR="00014ADB" w:rsidRDefault="00014ADB" w:rsidP="00792C7E">
            <w:pPr>
              <w:pStyle w:val="Body"/>
            </w:pPr>
          </w:p>
        </w:tc>
        <w:tc>
          <w:tcPr>
            <w:tcW w:w="1167" w:type="dxa"/>
            <w:tcBorders>
              <w:bottom w:val="single" w:sz="4" w:space="0" w:color="auto"/>
            </w:tcBorders>
          </w:tcPr>
          <w:p w14:paraId="221DE65F" w14:textId="77777777" w:rsidR="00014ADB" w:rsidRDefault="00014ADB" w:rsidP="00792C7E">
            <w:pPr>
              <w:pStyle w:val="Body"/>
            </w:pPr>
          </w:p>
        </w:tc>
        <w:tc>
          <w:tcPr>
            <w:tcW w:w="1312" w:type="dxa"/>
            <w:tcBorders>
              <w:bottom w:val="single" w:sz="4" w:space="0" w:color="auto"/>
            </w:tcBorders>
          </w:tcPr>
          <w:p w14:paraId="701B86C0" w14:textId="77777777" w:rsidR="00014ADB" w:rsidRDefault="00014ADB" w:rsidP="00792C7E">
            <w:pPr>
              <w:pStyle w:val="Body"/>
            </w:pPr>
          </w:p>
        </w:tc>
        <w:tc>
          <w:tcPr>
            <w:tcW w:w="2968" w:type="dxa"/>
            <w:tcBorders>
              <w:bottom w:val="single" w:sz="4" w:space="0" w:color="auto"/>
            </w:tcBorders>
          </w:tcPr>
          <w:p w14:paraId="25245970" w14:textId="77777777" w:rsidR="00014ADB" w:rsidRPr="00C42FCA" w:rsidRDefault="00014ADB" w:rsidP="00014ADB">
            <w:pPr>
              <w:pStyle w:val="Tablebodybold"/>
            </w:pPr>
            <w:r w:rsidRPr="00C42FCA">
              <w:t>Recognize and appreciate the role of story, narrative, and oral tradition in expressing First Peoples perspectives, values, beliefs, and points of view</w:t>
            </w:r>
          </w:p>
          <w:p w14:paraId="7E87E7CA" w14:textId="77777777" w:rsidR="00014ADB" w:rsidRPr="00C42FCA" w:rsidRDefault="00014ADB" w:rsidP="00014ADB">
            <w:pPr>
              <w:pStyle w:val="Keyquestions"/>
            </w:pPr>
            <w:r w:rsidRPr="00C42FCA">
              <w:t xml:space="preserve">story: </w:t>
            </w:r>
          </w:p>
          <w:p w14:paraId="3ED422E0" w14:textId="77777777" w:rsidR="00014ADB" w:rsidRPr="00C42FCA" w:rsidRDefault="00014ADB" w:rsidP="00014ADB">
            <w:pPr>
              <w:pStyle w:val="Bullet"/>
            </w:pPr>
            <w:r w:rsidRPr="00C42FCA">
              <w:t xml:space="preserve">narrative texts, whether real or imagined, that teach us about human nature, motivation, and experience, and often reflect a personal journey or strengthen </w:t>
            </w:r>
            <w:r w:rsidRPr="00C42FCA">
              <w:br/>
              <w:t>a sense of identity. They may also be considered the embodiment of collective wisdom. Stories can be oral, written, or visual, and used to instruct, inspire, and entertain listeners and readers.</w:t>
            </w:r>
          </w:p>
          <w:p w14:paraId="6B4AB3D4" w14:textId="77777777" w:rsidR="00014ADB" w:rsidRPr="00C42FCA" w:rsidRDefault="00014ADB" w:rsidP="00014ADB">
            <w:pPr>
              <w:pStyle w:val="Keyquestions"/>
            </w:pPr>
            <w:r w:rsidRPr="00C42FCA">
              <w:t xml:space="preserve">oral traditions: </w:t>
            </w:r>
          </w:p>
          <w:p w14:paraId="2BE1BEA8" w14:textId="77777777" w:rsidR="00014ADB" w:rsidRPr="00C42FCA" w:rsidRDefault="00014ADB" w:rsidP="00014ADB">
            <w:pPr>
              <w:pStyle w:val="Bullet"/>
            </w:pPr>
            <w:r w:rsidRPr="00C42FCA">
              <w:t>the means by which culture is transmitted over generations other than through written records.</w:t>
            </w:r>
          </w:p>
          <w:p w14:paraId="0E5C0994" w14:textId="77777777" w:rsidR="00014ADB" w:rsidRPr="00C42FCA" w:rsidRDefault="00014ADB" w:rsidP="00014ADB">
            <w:pPr>
              <w:pStyle w:val="Bullet"/>
            </w:pPr>
            <w:r w:rsidRPr="00C42FCA">
              <w:t>Among First Peoples, oral tradition may consist of told stories, songs, and other type of distilled wisdom or information, often complemented by dance of various forms of visual representation, such as carvings or masks.</w:t>
            </w:r>
          </w:p>
          <w:p w14:paraId="7BE81E5F" w14:textId="59EFF7CB" w:rsidR="00014ADB" w:rsidRPr="002B7AF9" w:rsidRDefault="00014ADB" w:rsidP="00014ADB">
            <w:pPr>
              <w:pStyle w:val="Bullet"/>
            </w:pPr>
            <w:r w:rsidRPr="002B7AF9">
              <w:t>In addition to expressing spiritual and emotional truth (e.g., by symbol and metaphor), it provides a record of literal truth (e.g., about events and situations).</w:t>
            </w:r>
          </w:p>
          <w:p w14:paraId="12E217C7" w14:textId="66020C6C" w:rsidR="00014ADB" w:rsidRPr="00C03A3A" w:rsidRDefault="00014ADB" w:rsidP="00014ADB">
            <w:pPr>
              <w:pStyle w:val="Bullet"/>
            </w:pPr>
            <w:r w:rsidRPr="002B7AF9">
              <w:t>The oral tradition was once integrated into every facet of life of First Peoples and was the basis of the education system.</w:t>
            </w:r>
          </w:p>
          <w:p w14:paraId="06B6EB1D" w14:textId="77777777" w:rsidR="00014ADB" w:rsidRDefault="00014ADB" w:rsidP="00014ADB">
            <w:pPr>
              <w:pStyle w:val="Tablebodybold"/>
            </w:pPr>
            <w:r>
              <w:t>Develop an awareness of the diversity within and across First Peoples societies represented in texts</w:t>
            </w:r>
          </w:p>
          <w:p w14:paraId="6B0D7573" w14:textId="1D4C8D77" w:rsidR="00014ADB" w:rsidRDefault="00014ADB" w:rsidP="00F3384D">
            <w:pPr>
              <w:pStyle w:val="Tablebodybold"/>
            </w:pPr>
            <w:r>
              <w:t>Recognize the influence of place in First Peoples and other Canadian texts</w:t>
            </w:r>
          </w:p>
        </w:tc>
        <w:tc>
          <w:tcPr>
            <w:tcW w:w="2519" w:type="dxa"/>
            <w:tcBorders>
              <w:bottom w:val="single" w:sz="4" w:space="0" w:color="auto"/>
            </w:tcBorders>
          </w:tcPr>
          <w:p w14:paraId="7E5FA6CC" w14:textId="55351B5F" w:rsidR="00014ADB" w:rsidRDefault="00014ADB" w:rsidP="00014ADB">
            <w:pPr>
              <w:pStyle w:val="Tablebodybold"/>
            </w:pPr>
            <w:r>
              <w:rPr>
                <w:lang w:val="en-CA"/>
              </w:rPr>
              <w:t>Recognize the literary diversity in the French-speaking world and among Aboriginal communities</w:t>
            </w:r>
          </w:p>
        </w:tc>
        <w:tc>
          <w:tcPr>
            <w:tcW w:w="2520" w:type="dxa"/>
            <w:tcBorders>
              <w:bottom w:val="single" w:sz="4" w:space="0" w:color="auto"/>
            </w:tcBorders>
          </w:tcPr>
          <w:p w14:paraId="3C409FF4" w14:textId="77777777" w:rsidR="00014ADB" w:rsidRDefault="00014ADB" w:rsidP="00014ADB">
            <w:pPr>
              <w:pStyle w:val="Tablebodybold"/>
            </w:pPr>
            <w:r>
              <w:t xml:space="preserve">Identify and analyze cultural values and symbols in </w:t>
            </w:r>
            <w:r w:rsidRPr="00FD5127">
              <w:t>Aboriginal</w:t>
            </w:r>
            <w:r>
              <w:t xml:space="preserve"> and other</w:t>
            </w:r>
            <w:r w:rsidRPr="00FD5127">
              <w:t xml:space="preserve"> texts</w:t>
            </w:r>
          </w:p>
          <w:p w14:paraId="1645386C" w14:textId="77777777" w:rsidR="00014ADB" w:rsidRPr="009948DC" w:rsidRDefault="00014ADB" w:rsidP="00014ADB">
            <w:pPr>
              <w:pStyle w:val="Bullet"/>
            </w:pPr>
            <w:r w:rsidRPr="00FF022F">
              <w:t>oral, written, visual</w:t>
            </w:r>
          </w:p>
          <w:p w14:paraId="368EE136" w14:textId="121C22A4" w:rsidR="00014ADB" w:rsidRPr="00014ADB" w:rsidRDefault="00014ADB" w:rsidP="00014ADB">
            <w:pPr>
              <w:pStyle w:val="Tablebodybold"/>
            </w:pPr>
            <w:r>
              <w:t>Highlight and compare different perspective, beliefs and viewpoints in Aboriginal and other texts</w:t>
            </w:r>
          </w:p>
        </w:tc>
        <w:tc>
          <w:tcPr>
            <w:tcW w:w="2520" w:type="dxa"/>
            <w:tcBorders>
              <w:bottom w:val="single" w:sz="4" w:space="0" w:color="auto"/>
            </w:tcBorders>
          </w:tcPr>
          <w:p w14:paraId="25FFF642" w14:textId="77777777" w:rsidR="00014ADB" w:rsidRPr="008A2A37" w:rsidRDefault="00014ADB" w:rsidP="00014ADB">
            <w:pPr>
              <w:pStyle w:val="Tablebodybold"/>
              <w:rPr>
                <w:i/>
                <w:lang w:val="en-CA"/>
              </w:rPr>
            </w:pPr>
            <w:proofErr w:type="spellStart"/>
            <w:r w:rsidRPr="008A2A37">
              <w:rPr>
                <w:i/>
                <w:lang w:val="en-CA"/>
              </w:rPr>
              <w:t>ASL</w:t>
            </w:r>
            <w:proofErr w:type="spellEnd"/>
            <w:r w:rsidRPr="008A2A37">
              <w:rPr>
                <w:i/>
                <w:lang w:val="en-CA"/>
              </w:rPr>
              <w:t>, German, Italian, Japanese, Korean, Mandarin, Punjabi, Spanish, Spanish 9 Entry:</w:t>
            </w:r>
          </w:p>
          <w:p w14:paraId="67970FC0" w14:textId="7167EEA4" w:rsidR="00014ADB" w:rsidRDefault="00014ADB" w:rsidP="00014ADB">
            <w:pPr>
              <w:pStyle w:val="Tablebodybold"/>
            </w:pPr>
            <w:r w:rsidRPr="00552D58">
              <w:rPr>
                <w:lang w:val="en-CA"/>
              </w:rPr>
              <w:t>Recognize First Peoples perspectives and knowledge, other ways of knowing, and local cultural knowledge</w:t>
            </w:r>
          </w:p>
          <w:p w14:paraId="2944276C" w14:textId="77777777" w:rsidR="00014ADB" w:rsidRPr="004B6F77" w:rsidRDefault="00014ADB" w:rsidP="00014ADB">
            <w:pPr>
              <w:pStyle w:val="Bullet"/>
            </w:pPr>
            <w:r w:rsidRPr="00875EC4">
              <w:rPr>
                <w:lang w:val="en-CA"/>
              </w:rPr>
              <w:t>e.g., First Nations, Métis, and Inuit; and/or gender-related, subject/discipline specific, cultural, embodied, intuitive</w:t>
            </w:r>
          </w:p>
          <w:p w14:paraId="10209E0A" w14:textId="77777777" w:rsidR="00014ADB" w:rsidRPr="008A2A37" w:rsidRDefault="00014ADB" w:rsidP="00014ADB">
            <w:pPr>
              <w:pStyle w:val="Tablebodybold"/>
              <w:rPr>
                <w:i/>
                <w:lang w:val="en-CA"/>
              </w:rPr>
            </w:pPr>
            <w:r w:rsidRPr="008A2A37">
              <w:rPr>
                <w:i/>
                <w:lang w:val="en-CA"/>
              </w:rPr>
              <w:t>Core French:</w:t>
            </w:r>
          </w:p>
          <w:p w14:paraId="4E5BA8EB" w14:textId="77777777" w:rsidR="00014ADB" w:rsidRDefault="00014ADB" w:rsidP="00014ADB">
            <w:pPr>
              <w:pStyle w:val="Tablebodybold"/>
            </w:pPr>
            <w:r>
              <w:rPr>
                <w:lang w:val="en-CA"/>
              </w:rPr>
              <w:t>Explore and share information about connections between First Peoples communities and the French language</w:t>
            </w:r>
          </w:p>
          <w:p w14:paraId="2D6C1D8F" w14:textId="334A0350" w:rsidR="00014ADB" w:rsidRPr="004C49EF" w:rsidRDefault="00014ADB" w:rsidP="00014ADB">
            <w:pPr>
              <w:pStyle w:val="Bullet"/>
            </w:pPr>
            <w:r w:rsidRPr="004B6F77">
              <w:rPr>
                <w:lang w:val="en-CA"/>
              </w:rPr>
              <w:t xml:space="preserve">for example, First Nations, Métis, and Inuit communities in Canada where French is spoken (e.g., Huron </w:t>
            </w:r>
            <w:proofErr w:type="spellStart"/>
            <w:r w:rsidRPr="004B6F77">
              <w:rPr>
                <w:lang w:val="en-CA"/>
              </w:rPr>
              <w:t>Wendake</w:t>
            </w:r>
            <w:proofErr w:type="spellEnd"/>
            <w:r w:rsidRPr="004B6F77">
              <w:rPr>
                <w:lang w:val="en-CA"/>
              </w:rPr>
              <w:t xml:space="preserve"> Nation, Innu Nation, Micmac Nation, and Mohawk Nation in Quebec; Métis communities in </w:t>
            </w:r>
            <w:proofErr w:type="spellStart"/>
            <w:r w:rsidRPr="004B6F77">
              <w:rPr>
                <w:lang w:val="en-CA"/>
              </w:rPr>
              <w:t>Baie</w:t>
            </w:r>
            <w:proofErr w:type="spellEnd"/>
            <w:r w:rsidRPr="004B6F77">
              <w:rPr>
                <w:lang w:val="en-CA"/>
              </w:rPr>
              <w:t xml:space="preserve"> St. Paul, MB, Fort Nelson, BC, and </w:t>
            </w:r>
            <w:proofErr w:type="spellStart"/>
            <w:r w:rsidRPr="004B6F77">
              <w:rPr>
                <w:lang w:val="en-CA"/>
              </w:rPr>
              <w:t>Île</w:t>
            </w:r>
            <w:proofErr w:type="spellEnd"/>
            <w:r w:rsidRPr="004B6F77">
              <w:rPr>
                <w:lang w:val="en-CA"/>
              </w:rPr>
              <w:t>-à-la-Crosse, SK)</w:t>
            </w:r>
          </w:p>
          <w:p w14:paraId="2262AD42" w14:textId="3B3AEF55" w:rsidR="00014ADB" w:rsidRDefault="00014ADB" w:rsidP="00014ADB">
            <w:pPr>
              <w:pStyle w:val="Bullet"/>
            </w:pPr>
            <w:r w:rsidRPr="004C49EF">
              <w:rPr>
                <w:lang w:val="en-CA"/>
              </w:rPr>
              <w:t>Discussion could include the fact that First Peoples writers in Quebec,</w:t>
            </w:r>
            <w:r>
              <w:rPr>
                <w:lang w:val="en-CA"/>
              </w:rPr>
              <w:t xml:space="preserve"> </w:t>
            </w:r>
            <w:r w:rsidRPr="004C49EF">
              <w:rPr>
                <w:lang w:val="en-CA"/>
              </w:rPr>
              <w:t>such as those from the Innu Nation, have used the French language through prose and poetry to bring attention to the negative effects of colonization on their families and communities.</w:t>
            </w:r>
          </w:p>
        </w:tc>
        <w:tc>
          <w:tcPr>
            <w:tcW w:w="2721" w:type="dxa"/>
            <w:tcBorders>
              <w:bottom w:val="single" w:sz="4" w:space="0" w:color="auto"/>
            </w:tcBorders>
          </w:tcPr>
          <w:p w14:paraId="0CD21C93" w14:textId="7C466A20" w:rsidR="00014ADB" w:rsidRDefault="00014ADB" w:rsidP="00014ADB">
            <w:pPr>
              <w:pStyle w:val="Tablebodybold"/>
              <w:rPr>
                <w:lang w:val="en-CA"/>
              </w:rPr>
            </w:pPr>
            <w:r>
              <w:rPr>
                <w:lang w:val="en-CA"/>
              </w:rPr>
              <w:t>Engage in problem-solving experiences that are connected to place, story, cultural practices, and perspectives relevant to local First Peoples communities, the local community, and other cultures</w:t>
            </w:r>
          </w:p>
          <w:p w14:paraId="739EE77A" w14:textId="77777777" w:rsidR="00014ADB" w:rsidRPr="005457DA" w:rsidRDefault="00014ADB" w:rsidP="00014ADB">
            <w:pPr>
              <w:pStyle w:val="Bullet"/>
              <w:rPr>
                <w:lang w:val="en-CA"/>
              </w:rPr>
            </w:pPr>
            <w:r w:rsidRPr="005457DA">
              <w:rPr>
                <w:lang w:val="en-CA"/>
              </w:rPr>
              <w:t>in daily activities, local and traditional practices, the environment, popular media</w:t>
            </w:r>
          </w:p>
          <w:p w14:paraId="32231660" w14:textId="77777777" w:rsidR="00014ADB" w:rsidRPr="005457DA" w:rsidRDefault="00014ADB" w:rsidP="00014ADB">
            <w:pPr>
              <w:pStyle w:val="Bullet"/>
              <w:rPr>
                <w:lang w:val="en-CA"/>
              </w:rPr>
            </w:pPr>
            <w:r w:rsidRPr="005457DA">
              <w:rPr>
                <w:lang w:val="en-CA"/>
              </w:rPr>
              <w:t>and news events, cross-curricular integration</w:t>
            </w:r>
          </w:p>
          <w:p w14:paraId="071E3FD0" w14:textId="77777777" w:rsidR="00014ADB" w:rsidRPr="005457DA" w:rsidRDefault="00014ADB" w:rsidP="00014ADB">
            <w:pPr>
              <w:pStyle w:val="Bullet"/>
              <w:rPr>
                <w:lang w:val="en-CA"/>
              </w:rPr>
            </w:pPr>
            <w:r w:rsidRPr="005457DA">
              <w:rPr>
                <w:lang w:val="en-CA"/>
              </w:rPr>
              <w:t>Patterns are important in First Peoples technology, architecture, and art.</w:t>
            </w:r>
          </w:p>
          <w:p w14:paraId="2E82C75C" w14:textId="77777777" w:rsidR="00014ADB" w:rsidRPr="005457DA" w:rsidRDefault="00014ADB" w:rsidP="00014ADB">
            <w:pPr>
              <w:pStyle w:val="Bullet"/>
              <w:rPr>
                <w:lang w:val="en-CA"/>
              </w:rPr>
            </w:pPr>
            <w:r w:rsidRPr="005457DA">
              <w:rPr>
                <w:lang w:val="en-CA"/>
              </w:rPr>
              <w:t>Have students pose and solve problems or ask questions connected to place,</w:t>
            </w:r>
            <w:r>
              <w:rPr>
                <w:lang w:val="en-CA"/>
              </w:rPr>
              <w:t xml:space="preserve"> </w:t>
            </w:r>
            <w:r w:rsidRPr="005457DA">
              <w:rPr>
                <w:lang w:val="en-CA"/>
              </w:rPr>
              <w:t>stories, and cultural practices</w:t>
            </w:r>
          </w:p>
          <w:p w14:paraId="36BB1431" w14:textId="3AA10C24" w:rsidR="00014ADB" w:rsidRDefault="00014ADB" w:rsidP="00014ADB">
            <w:pPr>
              <w:pStyle w:val="Tablebodybold"/>
              <w:rPr>
                <w:lang w:val="en-CA"/>
              </w:rPr>
            </w:pPr>
            <w:r>
              <w:rPr>
                <w:lang w:val="en-CA"/>
              </w:rPr>
              <w:t>Incorporate First Peoples worldviews and perspectives to make connections to mathematical concepts</w:t>
            </w:r>
          </w:p>
          <w:p w14:paraId="42027A23" w14:textId="77777777" w:rsidR="00014ADB" w:rsidRDefault="00014ADB" w:rsidP="00014ADB">
            <w:pPr>
              <w:pStyle w:val="Bullet"/>
              <w:rPr>
                <w:rFonts w:ascii="Calibri-Light" w:hAnsi="Calibri-Light" w:cs="Calibri-Light"/>
                <w:lang w:val="en-CA"/>
              </w:rPr>
            </w:pPr>
            <w:r>
              <w:rPr>
                <w:lang w:val="en-CA"/>
              </w:rPr>
              <w:t>Incorporate:</w:t>
            </w:r>
          </w:p>
          <w:p w14:paraId="74145E7D" w14:textId="77777777" w:rsidR="00014ADB" w:rsidRPr="0024538B" w:rsidRDefault="00014ADB" w:rsidP="00014ADB">
            <w:pPr>
              <w:pStyle w:val="Bullet2elaboration"/>
              <w:rPr>
                <w:lang w:val="en-CA"/>
              </w:rPr>
            </w:pPr>
            <w:r w:rsidRPr="005457DA">
              <w:rPr>
                <w:lang w:val="en-CA"/>
              </w:rPr>
              <w:t>Invite local First Peoples Elders and knowledge keepers to share their</w:t>
            </w:r>
            <w:r>
              <w:rPr>
                <w:lang w:val="en-CA"/>
              </w:rPr>
              <w:t xml:space="preserve"> </w:t>
            </w:r>
            <w:r w:rsidRPr="0024538B">
              <w:rPr>
                <w:lang w:val="en-CA"/>
              </w:rPr>
              <w:t>knowledge</w:t>
            </w:r>
          </w:p>
          <w:p w14:paraId="4C79D014" w14:textId="77777777" w:rsidR="00014ADB" w:rsidRPr="005457DA" w:rsidRDefault="00014ADB" w:rsidP="00014ADB">
            <w:pPr>
              <w:pStyle w:val="Bullet"/>
              <w:rPr>
                <w:rFonts w:ascii="Calibri-Light" w:hAnsi="Calibri-Light" w:cs="Calibri-Light"/>
                <w:lang w:val="en-CA"/>
              </w:rPr>
            </w:pPr>
            <w:r>
              <w:rPr>
                <w:lang w:val="en-CA"/>
              </w:rPr>
              <w:t>M</w:t>
            </w:r>
            <w:r w:rsidRPr="005457DA">
              <w:rPr>
                <w:lang w:val="en-CA"/>
              </w:rPr>
              <w:t>ake connections:</w:t>
            </w:r>
          </w:p>
          <w:p w14:paraId="7830740B" w14:textId="77777777" w:rsidR="00014ADB" w:rsidRPr="0024538B" w:rsidRDefault="00014ADB" w:rsidP="00014ADB">
            <w:pPr>
              <w:pStyle w:val="Bullet2elaboration"/>
              <w:rPr>
                <w:lang w:val="en-CA"/>
              </w:rPr>
            </w:pPr>
            <w:r w:rsidRPr="005457DA">
              <w:rPr>
                <w:lang w:val="en-CA"/>
              </w:rPr>
              <w:t>Bishop’s cultural practices: counting, measuring, locating, designing, playing,</w:t>
            </w:r>
            <w:r>
              <w:rPr>
                <w:lang w:val="en-CA"/>
              </w:rPr>
              <w:t xml:space="preserve"> </w:t>
            </w:r>
            <w:r w:rsidRPr="0024538B">
              <w:rPr>
                <w:lang w:val="en-CA"/>
              </w:rPr>
              <w:t>explaining (</w:t>
            </w:r>
            <w:proofErr w:type="spellStart"/>
            <w:r w:rsidRPr="0024538B">
              <w:rPr>
                <w:lang w:val="en-CA"/>
              </w:rPr>
              <w:t>csus.edu</w:t>
            </w:r>
            <w:proofErr w:type="spellEnd"/>
            <w:r w:rsidRPr="0024538B">
              <w:rPr>
                <w:lang w:val="en-CA"/>
              </w:rPr>
              <w:t>/</w:t>
            </w:r>
            <w:proofErr w:type="spellStart"/>
            <w:r w:rsidRPr="0024538B">
              <w:rPr>
                <w:lang w:val="en-CA"/>
              </w:rPr>
              <w:t>indiv</w:t>
            </w:r>
            <w:proofErr w:type="spellEnd"/>
            <w:r w:rsidRPr="0024538B">
              <w:rPr>
                <w:lang w:val="en-CA"/>
              </w:rPr>
              <w:t>/o/</w:t>
            </w:r>
            <w:proofErr w:type="spellStart"/>
            <w:r w:rsidRPr="0024538B">
              <w:rPr>
                <w:lang w:val="en-CA"/>
              </w:rPr>
              <w:t>oreyd</w:t>
            </w:r>
            <w:proofErr w:type="spellEnd"/>
            <w:r w:rsidRPr="0024538B">
              <w:rPr>
                <w:lang w:val="en-CA"/>
              </w:rPr>
              <w:t>/</w:t>
            </w:r>
            <w:proofErr w:type="spellStart"/>
            <w:r w:rsidRPr="0024538B">
              <w:rPr>
                <w:lang w:val="en-CA"/>
              </w:rPr>
              <w:t>ACP.htm_files</w:t>
            </w:r>
            <w:proofErr w:type="spellEnd"/>
            <w:r w:rsidRPr="0024538B">
              <w:rPr>
                <w:lang w:val="en-CA"/>
              </w:rPr>
              <w:t>/</w:t>
            </w:r>
            <w:proofErr w:type="spellStart"/>
            <w:r w:rsidRPr="0024538B">
              <w:rPr>
                <w:lang w:val="en-CA"/>
              </w:rPr>
              <w:t>abishop.htm</w:t>
            </w:r>
            <w:proofErr w:type="spellEnd"/>
            <w:r w:rsidRPr="0024538B">
              <w:rPr>
                <w:lang w:val="en-CA"/>
              </w:rPr>
              <w:t>)</w:t>
            </w:r>
          </w:p>
          <w:p w14:paraId="75E0AF99" w14:textId="77777777" w:rsidR="00014ADB" w:rsidRDefault="00014ADB" w:rsidP="00014ADB">
            <w:pPr>
              <w:pStyle w:val="Bullet2elaboration"/>
              <w:rPr>
                <w:lang w:val="en-CA"/>
              </w:rPr>
            </w:pPr>
            <w:proofErr w:type="spellStart"/>
            <w:r w:rsidRPr="005457DA">
              <w:rPr>
                <w:lang w:val="en-CA"/>
              </w:rPr>
              <w:t>aboriginaleducation.ca</w:t>
            </w:r>
            <w:proofErr w:type="spellEnd"/>
          </w:p>
          <w:p w14:paraId="3E9D923F" w14:textId="47BD661C" w:rsidR="00014ADB" w:rsidRDefault="00014ADB" w:rsidP="00014ADB">
            <w:pPr>
              <w:pStyle w:val="Bullet2elaboration"/>
            </w:pPr>
            <w:r w:rsidRPr="0024538B">
              <w:rPr>
                <w:lang w:val="en-CA"/>
              </w:rPr>
              <w:t xml:space="preserve">Teaching Mathematics in a First Nations Context, </w:t>
            </w:r>
            <w:proofErr w:type="spellStart"/>
            <w:r w:rsidRPr="0024538B">
              <w:rPr>
                <w:lang w:val="en-CA"/>
              </w:rPr>
              <w:t>FNESC</w:t>
            </w:r>
            <w:proofErr w:type="spellEnd"/>
            <w:r w:rsidRPr="0024538B">
              <w:rPr>
                <w:lang w:val="en-CA"/>
              </w:rPr>
              <w:t xml:space="preserve"> </w:t>
            </w:r>
            <w:proofErr w:type="spellStart"/>
            <w:r w:rsidRPr="0024538B">
              <w:rPr>
                <w:lang w:val="en-CA"/>
              </w:rPr>
              <w:t>fnesc.ca</w:t>
            </w:r>
            <w:proofErr w:type="spellEnd"/>
            <w:r w:rsidRPr="0024538B">
              <w:rPr>
                <w:lang w:val="en-CA"/>
              </w:rPr>
              <w:t>/k-7/</w:t>
            </w:r>
          </w:p>
        </w:tc>
        <w:tc>
          <w:tcPr>
            <w:tcW w:w="1049" w:type="dxa"/>
            <w:tcBorders>
              <w:bottom w:val="single" w:sz="4" w:space="0" w:color="auto"/>
            </w:tcBorders>
          </w:tcPr>
          <w:p w14:paraId="3E00497D" w14:textId="77777777" w:rsidR="00014ADB" w:rsidRDefault="00014ADB" w:rsidP="00792C7E">
            <w:pPr>
              <w:pStyle w:val="Body"/>
            </w:pPr>
          </w:p>
        </w:tc>
        <w:tc>
          <w:tcPr>
            <w:tcW w:w="1864" w:type="dxa"/>
            <w:tcBorders>
              <w:bottom w:val="single" w:sz="4" w:space="0" w:color="auto"/>
            </w:tcBorders>
          </w:tcPr>
          <w:p w14:paraId="3AC1AE7C" w14:textId="77777777" w:rsidR="00014ADB" w:rsidRPr="005457DA" w:rsidRDefault="00014ADB" w:rsidP="00014ADB">
            <w:pPr>
              <w:pStyle w:val="Tablebodybold"/>
            </w:pPr>
            <w:r w:rsidRPr="005457DA">
              <w:t>Apply First Peoples perspectives and knowledge, other ways of knowing, and local knowledge as sources of information</w:t>
            </w:r>
          </w:p>
          <w:p w14:paraId="2C1008A4" w14:textId="334FA93C" w:rsidR="00014ADB" w:rsidRDefault="00014ADB" w:rsidP="00014ADB">
            <w:pPr>
              <w:pStyle w:val="Bullet"/>
            </w:pPr>
            <w:r w:rsidRPr="005457DA">
              <w:t>Ways of knowing refers to the various beliefs about the nature of knowledge that people have; they can include, but are not limited to, Aboriginal, gender-related, subject/discipline specific, cultural, embodied and intuitive beliefs about knowledge.</w:t>
            </w:r>
          </w:p>
        </w:tc>
        <w:tc>
          <w:tcPr>
            <w:tcW w:w="1276" w:type="dxa"/>
            <w:tcBorders>
              <w:bottom w:val="single" w:sz="4" w:space="0" w:color="auto"/>
            </w:tcBorders>
          </w:tcPr>
          <w:p w14:paraId="7E28594F" w14:textId="77777777" w:rsidR="00014ADB" w:rsidRDefault="00014ADB" w:rsidP="00792C7E">
            <w:pPr>
              <w:pStyle w:val="Body"/>
            </w:pPr>
          </w:p>
        </w:tc>
      </w:tr>
    </w:tbl>
    <w:p w14:paraId="018F6529" w14:textId="77777777" w:rsidR="00D46048" w:rsidRDefault="00D46048" w:rsidP="00D46048">
      <w:pPr>
        <w:pStyle w:val="Body"/>
      </w:pPr>
    </w:p>
    <w:tbl>
      <w:tblPr>
        <w:tblStyle w:val="TableGrid"/>
        <w:tblW w:w="0" w:type="auto"/>
        <w:tblInd w:w="1" w:type="dxa"/>
        <w:tblLook w:val="04A0" w:firstRow="1" w:lastRow="0" w:firstColumn="1" w:lastColumn="0" w:noHBand="0" w:noVBand="1"/>
      </w:tblPr>
      <w:tblGrid>
        <w:gridCol w:w="502"/>
        <w:gridCol w:w="1070"/>
        <w:gridCol w:w="2092"/>
        <w:gridCol w:w="1795"/>
        <w:gridCol w:w="1766"/>
        <w:gridCol w:w="1978"/>
        <w:gridCol w:w="1768"/>
        <w:gridCol w:w="1885"/>
        <w:gridCol w:w="1875"/>
        <w:gridCol w:w="1480"/>
        <w:gridCol w:w="1570"/>
        <w:gridCol w:w="2388"/>
        <w:gridCol w:w="2380"/>
      </w:tblGrid>
      <w:tr w:rsidR="00014ADB" w14:paraId="5756EB2B" w14:textId="77777777" w:rsidTr="00014ADB">
        <w:tc>
          <w:tcPr>
            <w:tcW w:w="1572" w:type="dxa"/>
            <w:gridSpan w:val="2"/>
            <w:vAlign w:val="bottom"/>
          </w:tcPr>
          <w:p w14:paraId="46547403" w14:textId="77777777" w:rsidR="002236C7" w:rsidRPr="004D4C72" w:rsidRDefault="002236C7" w:rsidP="002236C7">
            <w:pPr>
              <w:pageBreakBefore/>
              <w:jc w:val="center"/>
              <w:rPr>
                <w:rFonts w:ascii="Century Gothic" w:hAnsi="Century Gothic"/>
                <w:b/>
                <w:sz w:val="20"/>
                <w:szCs w:val="20"/>
              </w:rPr>
            </w:pPr>
          </w:p>
        </w:tc>
        <w:tc>
          <w:tcPr>
            <w:tcW w:w="2092" w:type="dxa"/>
            <w:shd w:val="clear" w:color="auto" w:fill="FEECBC"/>
            <w:vAlign w:val="center"/>
          </w:tcPr>
          <w:p w14:paraId="30F36850"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795" w:type="dxa"/>
            <w:shd w:val="clear" w:color="auto" w:fill="FEECBC"/>
            <w:vAlign w:val="center"/>
          </w:tcPr>
          <w:p w14:paraId="04F59B02"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Arts</w:t>
            </w:r>
          </w:p>
        </w:tc>
        <w:tc>
          <w:tcPr>
            <w:tcW w:w="1766" w:type="dxa"/>
            <w:shd w:val="clear" w:color="auto" w:fill="FEECBC"/>
            <w:vAlign w:val="center"/>
          </w:tcPr>
          <w:p w14:paraId="5D485C5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Career Ed.</w:t>
            </w:r>
          </w:p>
        </w:tc>
        <w:tc>
          <w:tcPr>
            <w:tcW w:w="1978" w:type="dxa"/>
            <w:shd w:val="clear" w:color="auto" w:fill="FEECBC"/>
            <w:vAlign w:val="center"/>
          </w:tcPr>
          <w:p w14:paraId="3C0A58E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ELA</w:t>
            </w:r>
          </w:p>
        </w:tc>
        <w:tc>
          <w:tcPr>
            <w:tcW w:w="1768" w:type="dxa"/>
            <w:shd w:val="clear" w:color="auto" w:fill="FEECBC"/>
            <w:vAlign w:val="center"/>
          </w:tcPr>
          <w:p w14:paraId="74028391"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885" w:type="dxa"/>
            <w:shd w:val="clear" w:color="auto" w:fill="FEECBC"/>
            <w:vAlign w:val="center"/>
          </w:tcPr>
          <w:p w14:paraId="1F7E3B1A" w14:textId="74D7F6FF"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875" w:type="dxa"/>
            <w:shd w:val="clear" w:color="auto" w:fill="FEECBC"/>
            <w:vAlign w:val="center"/>
          </w:tcPr>
          <w:p w14:paraId="48AE1DCD"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Languages</w:t>
            </w:r>
          </w:p>
        </w:tc>
        <w:tc>
          <w:tcPr>
            <w:tcW w:w="1480" w:type="dxa"/>
            <w:shd w:val="clear" w:color="auto" w:fill="FEECBC"/>
            <w:vAlign w:val="center"/>
          </w:tcPr>
          <w:p w14:paraId="5ABA14A4"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Mathematics</w:t>
            </w:r>
          </w:p>
        </w:tc>
        <w:tc>
          <w:tcPr>
            <w:tcW w:w="1570" w:type="dxa"/>
            <w:shd w:val="clear" w:color="auto" w:fill="FEECBC"/>
            <w:vAlign w:val="center"/>
          </w:tcPr>
          <w:p w14:paraId="2FB6C93F"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2388" w:type="dxa"/>
            <w:shd w:val="clear" w:color="auto" w:fill="FEECBC"/>
            <w:vAlign w:val="center"/>
          </w:tcPr>
          <w:p w14:paraId="12533E6C"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Science</w:t>
            </w:r>
          </w:p>
        </w:tc>
        <w:tc>
          <w:tcPr>
            <w:tcW w:w="2380" w:type="dxa"/>
            <w:shd w:val="clear" w:color="auto" w:fill="FEECBC"/>
            <w:vAlign w:val="center"/>
          </w:tcPr>
          <w:p w14:paraId="1E8E621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014ADB" w14:paraId="535461C5" w14:textId="77777777" w:rsidTr="00014ADB">
        <w:trPr>
          <w:cantSplit/>
          <w:trHeight w:val="1134"/>
        </w:trPr>
        <w:tc>
          <w:tcPr>
            <w:tcW w:w="502" w:type="dxa"/>
            <w:shd w:val="clear" w:color="auto" w:fill="4A5F7C"/>
            <w:textDirection w:val="btLr"/>
            <w:vAlign w:val="center"/>
          </w:tcPr>
          <w:p w14:paraId="4E0CCC32" w14:textId="1040FC2E" w:rsidR="00014ADB" w:rsidRDefault="00014ADB" w:rsidP="002236C7">
            <w:pPr>
              <w:pStyle w:val="Body"/>
              <w:spacing w:after="0"/>
              <w:ind w:left="113" w:right="113"/>
              <w:jc w:val="center"/>
            </w:pPr>
            <w:r>
              <w:rPr>
                <w:rFonts w:ascii="Century Gothic" w:hAnsi="Century Gothic"/>
                <w:b/>
                <w:color w:val="FFFFFF" w:themeColor="background1"/>
                <w:sz w:val="28"/>
                <w:szCs w:val="28"/>
              </w:rPr>
              <w:t>Curricular Competencies</w:t>
            </w:r>
          </w:p>
        </w:tc>
        <w:tc>
          <w:tcPr>
            <w:tcW w:w="1070" w:type="dxa"/>
            <w:shd w:val="clear" w:color="auto" w:fill="F2F2F2" w:themeFill="background1" w:themeFillShade="F2"/>
          </w:tcPr>
          <w:p w14:paraId="5C028BFB" w14:textId="77777777" w:rsidR="00014ADB" w:rsidRPr="00D46048" w:rsidRDefault="00014ADB" w:rsidP="008A4B8C">
            <w:pPr>
              <w:pStyle w:val="Body"/>
              <w:rPr>
                <w:rFonts w:ascii="Century Gothic" w:hAnsi="Century Gothic"/>
                <w:b/>
              </w:rPr>
            </w:pPr>
            <w:r w:rsidRPr="00D46048">
              <w:rPr>
                <w:rFonts w:ascii="Century Gothic" w:hAnsi="Century Gothic"/>
                <w:b/>
              </w:rPr>
              <w:t>Implicit</w:t>
            </w:r>
          </w:p>
        </w:tc>
        <w:tc>
          <w:tcPr>
            <w:tcW w:w="2092" w:type="dxa"/>
            <w:shd w:val="clear" w:color="auto" w:fill="F2F2F2" w:themeFill="background1" w:themeFillShade="F2"/>
          </w:tcPr>
          <w:p w14:paraId="13C16233" w14:textId="4FF33BF3" w:rsidR="00014ADB" w:rsidRPr="00F3384D" w:rsidRDefault="00014ADB" w:rsidP="00F3384D">
            <w:pPr>
              <w:pStyle w:val="Tablebodybold"/>
              <w:rPr>
                <w:rFonts w:ascii="Helvetica-Bold" w:hAnsi="Helvetica-Bold" w:cs="Helvetica-Bold"/>
                <w:bCs/>
                <w:lang w:val="en-CA"/>
              </w:rPr>
            </w:pPr>
            <w:r w:rsidRPr="00F3384D">
              <w:rPr>
                <w:lang w:val="en-CA"/>
              </w:rPr>
              <w:t>Engage in a period of research and empathetic observation in order to understand</w:t>
            </w:r>
            <w:r w:rsidR="00F3384D" w:rsidRPr="00F3384D">
              <w:rPr>
                <w:lang w:val="en-CA"/>
              </w:rPr>
              <w:t xml:space="preserve"> </w:t>
            </w:r>
            <w:r w:rsidRPr="00F3384D">
              <w:rPr>
                <w:rFonts w:ascii="Helvetica-Bold" w:hAnsi="Helvetica-Bold" w:cs="Helvetica-Bold"/>
                <w:bCs/>
                <w:lang w:val="en-CA"/>
              </w:rPr>
              <w:t>design opportunities</w:t>
            </w:r>
          </w:p>
          <w:p w14:paraId="7CE0FA18" w14:textId="77777777" w:rsidR="00014ADB" w:rsidRPr="00004377" w:rsidRDefault="00014ADB" w:rsidP="00014ADB">
            <w:pPr>
              <w:pStyle w:val="Bullet"/>
              <w:rPr>
                <w:lang w:val="en-CA"/>
              </w:rPr>
            </w:pPr>
            <w:r w:rsidRPr="00004377">
              <w:rPr>
                <w:lang w:val="en-CA"/>
              </w:rPr>
              <w:t>seeking knowledge from other people as experts (e.g., First Peoples Elders),</w:t>
            </w:r>
            <w:r>
              <w:rPr>
                <w:lang w:val="en-CA"/>
              </w:rPr>
              <w:t xml:space="preserve"> </w:t>
            </w:r>
            <w:r w:rsidRPr="00004377">
              <w:rPr>
                <w:lang w:val="en-CA"/>
              </w:rPr>
              <w:t>secondary sources, and collective pools of knowledge in communities and</w:t>
            </w:r>
            <w:r>
              <w:rPr>
                <w:lang w:val="en-CA"/>
              </w:rPr>
              <w:t xml:space="preserve"> </w:t>
            </w:r>
            <w:r w:rsidRPr="00004377">
              <w:rPr>
                <w:lang w:val="en-CA"/>
              </w:rPr>
              <w:t>collaborative atmospheres</w:t>
            </w:r>
          </w:p>
          <w:p w14:paraId="0E90F901" w14:textId="77777777" w:rsidR="00014ADB" w:rsidRDefault="00014ADB" w:rsidP="00014ADB">
            <w:pPr>
              <w:pStyle w:val="Tablebodybold"/>
              <w:rPr>
                <w:lang w:val="en-CA"/>
              </w:rPr>
            </w:pPr>
            <w:r>
              <w:rPr>
                <w:lang w:val="en-CA"/>
              </w:rPr>
              <w:t>Identify criteria for success, intended impact, and any constraints</w:t>
            </w:r>
          </w:p>
          <w:p w14:paraId="6AAD5342" w14:textId="77777777" w:rsidR="00014ADB" w:rsidRPr="00004377" w:rsidRDefault="00014ADB" w:rsidP="00014ADB">
            <w:pPr>
              <w:pStyle w:val="Bullet"/>
              <w:rPr>
                <w:lang w:val="en-CA"/>
              </w:rPr>
            </w:pPr>
            <w:r w:rsidRPr="00004377">
              <w:rPr>
                <w:lang w:val="en-CA"/>
              </w:rPr>
              <w:t>limiting factors such as task or user requirements, materials, expense, environmental</w:t>
            </w:r>
            <w:r>
              <w:rPr>
                <w:lang w:val="en-CA"/>
              </w:rPr>
              <w:t xml:space="preserve"> </w:t>
            </w:r>
            <w:r w:rsidRPr="00004377">
              <w:rPr>
                <w:lang w:val="en-CA"/>
              </w:rPr>
              <w:t>impact, issues of appropriation, and knowledge that is considered sacred</w:t>
            </w:r>
          </w:p>
          <w:p w14:paraId="22F339C4" w14:textId="743F16B4" w:rsidR="00014ADB" w:rsidRDefault="00014ADB" w:rsidP="00014ADB">
            <w:pPr>
              <w:pStyle w:val="Tablebodybold"/>
              <w:rPr>
                <w:lang w:val="en-CA"/>
              </w:rPr>
            </w:pPr>
            <w:r>
              <w:rPr>
                <w:lang w:val="en-CA"/>
              </w:rPr>
              <w:t>Critically analyze and prioritize competing factors, including social, ethical, and sustainability considerations, to meet community needs for preferred futures</w:t>
            </w:r>
          </w:p>
          <w:p w14:paraId="426A2166" w14:textId="77777777" w:rsidR="00014ADB" w:rsidRDefault="00014ADB" w:rsidP="00014ADB">
            <w:pPr>
              <w:pStyle w:val="Tablebodybold"/>
              <w:rPr>
                <w:lang w:val="en-CA"/>
              </w:rPr>
            </w:pPr>
            <w:r>
              <w:rPr>
                <w:lang w:val="en-CA"/>
              </w:rPr>
              <w:t>Identify and use sources of inspiration and information</w:t>
            </w:r>
          </w:p>
          <w:p w14:paraId="55118881" w14:textId="61FE89CF" w:rsidR="00014ADB" w:rsidRPr="00014ADB" w:rsidRDefault="00014ADB" w:rsidP="00014ADB">
            <w:pPr>
              <w:pStyle w:val="Bullet"/>
              <w:rPr>
                <w:lang w:val="en-CA"/>
              </w:rPr>
            </w:pPr>
            <w:r w:rsidRPr="00004377">
              <w:rPr>
                <w:lang w:val="en-CA"/>
              </w:rPr>
              <w:t>may include experiences; traditional cultural knowledge and approaches, including</w:t>
            </w:r>
            <w:r>
              <w:rPr>
                <w:lang w:val="en-CA"/>
              </w:rPr>
              <w:t xml:space="preserve"> </w:t>
            </w:r>
            <w:r w:rsidRPr="00004377">
              <w:rPr>
                <w:lang w:val="en-CA"/>
              </w:rPr>
              <w:t>those of First Peoples; places, including the land and its natural resources and</w:t>
            </w:r>
            <w:r>
              <w:rPr>
                <w:lang w:val="en-CA"/>
              </w:rPr>
              <w:t xml:space="preserve"> </w:t>
            </w:r>
            <w:r w:rsidRPr="00004377">
              <w:rPr>
                <w:lang w:val="en-CA"/>
              </w:rPr>
              <w:t>analogous settings; and people, including users, experts, and thought leaders</w:t>
            </w:r>
          </w:p>
        </w:tc>
        <w:tc>
          <w:tcPr>
            <w:tcW w:w="1795" w:type="dxa"/>
            <w:shd w:val="clear" w:color="auto" w:fill="F2F2F2" w:themeFill="background1" w:themeFillShade="F2"/>
          </w:tcPr>
          <w:p w14:paraId="46214D08" w14:textId="31EDE038" w:rsidR="00014ADB" w:rsidRDefault="00014ADB" w:rsidP="00014ADB">
            <w:pPr>
              <w:pStyle w:val="Tablebodybold"/>
              <w:rPr>
                <w:lang w:val="en-CA"/>
              </w:rPr>
            </w:pPr>
            <w:r>
              <w:rPr>
                <w:lang w:val="en-CA"/>
              </w:rPr>
              <w:t>Demonstrate an understanding and appreciation of personal, social, cultural, historical, and environmental contexts in relation to the arts</w:t>
            </w:r>
          </w:p>
          <w:p w14:paraId="17E54F4A" w14:textId="082D64E4" w:rsidR="00014ADB" w:rsidRDefault="00014ADB" w:rsidP="00014ADB">
            <w:pPr>
              <w:pStyle w:val="Tablebodybold"/>
              <w:rPr>
                <w:lang w:val="en-CA"/>
              </w:rPr>
            </w:pPr>
            <w:r>
              <w:rPr>
                <w:lang w:val="en-CA"/>
              </w:rPr>
              <w:t>Explore relationships between identity, place, culture, society, and belonging through artistic experiences</w:t>
            </w:r>
          </w:p>
          <w:p w14:paraId="08D5646B" w14:textId="5D5A4940" w:rsidR="00014ADB" w:rsidRDefault="00014ADB" w:rsidP="00014ADB">
            <w:pPr>
              <w:pStyle w:val="Tablebodybold"/>
            </w:pPr>
            <w:r>
              <w:rPr>
                <w:lang w:val="en-CA"/>
              </w:rPr>
              <w:t>Create personally meaningful bodies of artistic works that demonstrate an understanding and appreciation of social, cultural, environmental, and historical contexts</w:t>
            </w:r>
          </w:p>
        </w:tc>
        <w:tc>
          <w:tcPr>
            <w:tcW w:w="1766" w:type="dxa"/>
            <w:shd w:val="clear" w:color="auto" w:fill="F2F2F2" w:themeFill="background1" w:themeFillShade="F2"/>
          </w:tcPr>
          <w:p w14:paraId="3AE38F70" w14:textId="7C8A54FC" w:rsidR="00014ADB" w:rsidRDefault="00014ADB" w:rsidP="00014ADB">
            <w:pPr>
              <w:pStyle w:val="Tablebodybold"/>
              <w:rPr>
                <w:lang w:val="en-CA"/>
              </w:rPr>
            </w:pPr>
            <w:r>
              <w:rPr>
                <w:lang w:val="en-CA"/>
              </w:rPr>
              <w:t>Question self and others about how individual purposes and passions can support the needs of the local and global community when considering career choices</w:t>
            </w:r>
          </w:p>
          <w:p w14:paraId="48B67325" w14:textId="77777777" w:rsidR="00014ADB" w:rsidRDefault="00014ADB" w:rsidP="00014ADB">
            <w:pPr>
              <w:pStyle w:val="Tablebodybold"/>
              <w:rPr>
                <w:lang w:val="en-CA"/>
              </w:rPr>
            </w:pPr>
            <w:r>
              <w:rPr>
                <w:lang w:val="en-CA"/>
              </w:rPr>
              <w:t>Demonstrate respect, collaboration, and inclusivity in working with others to solve problems</w:t>
            </w:r>
          </w:p>
          <w:p w14:paraId="29965D6B" w14:textId="2A27111B" w:rsidR="00014ADB" w:rsidRDefault="00014ADB" w:rsidP="00014ADB">
            <w:pPr>
              <w:pStyle w:val="Tablebodybold"/>
              <w:rPr>
                <w:lang w:val="en-CA"/>
              </w:rPr>
            </w:pPr>
            <w:r>
              <w:rPr>
                <w:lang w:val="en-CA"/>
              </w:rPr>
              <w:t>Recognize and explore diverse perspectives on how work contributes to our community</w:t>
            </w:r>
            <w:r w:rsidR="00F3384D">
              <w:rPr>
                <w:lang w:val="en-CA"/>
              </w:rPr>
              <w:t xml:space="preserve"> </w:t>
            </w:r>
            <w:r>
              <w:rPr>
                <w:lang w:val="en-CA"/>
              </w:rPr>
              <w:t>and society</w:t>
            </w:r>
          </w:p>
          <w:p w14:paraId="088A8CEB" w14:textId="77777777" w:rsidR="00014ADB" w:rsidRPr="006D65E5" w:rsidRDefault="00014ADB" w:rsidP="00014ADB">
            <w:pPr>
              <w:pStyle w:val="Bullet"/>
              <w:rPr>
                <w:lang w:val="en-CA"/>
              </w:rPr>
            </w:pPr>
            <w:r w:rsidRPr="006D65E5">
              <w:rPr>
                <w:lang w:val="en-CA"/>
              </w:rPr>
              <w:t>explore diverse perspectives: question and challenge career perceptions and possible career</w:t>
            </w:r>
            <w:r>
              <w:rPr>
                <w:lang w:val="en-CA"/>
              </w:rPr>
              <w:t xml:space="preserve"> </w:t>
            </w:r>
            <w:r w:rsidRPr="006D65E5">
              <w:rPr>
                <w:lang w:val="en-CA"/>
              </w:rPr>
              <w:t>paths and analyze the relationships between work, society, and the economy</w:t>
            </w:r>
          </w:p>
          <w:p w14:paraId="0B38BBB7" w14:textId="77777777" w:rsidR="00014ADB" w:rsidRDefault="00014ADB" w:rsidP="00014ADB">
            <w:pPr>
              <w:pStyle w:val="Tablebodybold"/>
              <w:rPr>
                <w:lang w:val="en-CA"/>
              </w:rPr>
            </w:pPr>
            <w:r>
              <w:rPr>
                <w:lang w:val="en-CA"/>
              </w:rPr>
              <w:t>Question self and others about the reciprocal relationship between self and community</w:t>
            </w:r>
          </w:p>
          <w:p w14:paraId="2226F3A1" w14:textId="77777777" w:rsidR="00014ADB" w:rsidRDefault="00014ADB" w:rsidP="00014ADB">
            <w:pPr>
              <w:pStyle w:val="Tablebodybold"/>
              <w:rPr>
                <w:lang w:val="en-CA"/>
              </w:rPr>
            </w:pPr>
            <w:r>
              <w:rPr>
                <w:lang w:val="en-CA"/>
              </w:rPr>
              <w:t>Appreciate the value of a network of resources and mentors to assist with career exploration</w:t>
            </w:r>
          </w:p>
          <w:p w14:paraId="4B5D29F3" w14:textId="77777777" w:rsidR="00014ADB" w:rsidRDefault="00014ADB" w:rsidP="00014ADB">
            <w:pPr>
              <w:pStyle w:val="Keyquestions"/>
              <w:rPr>
                <w:lang w:val="en-CA"/>
              </w:rPr>
            </w:pPr>
            <w:r>
              <w:rPr>
                <w:lang w:val="en-CA"/>
              </w:rPr>
              <w:t>mentors:</w:t>
            </w:r>
          </w:p>
          <w:p w14:paraId="4FE02BD9" w14:textId="501F2D89" w:rsidR="00014ADB" w:rsidRDefault="00014ADB" w:rsidP="00014ADB">
            <w:pPr>
              <w:pStyle w:val="Bullet"/>
              <w:spacing w:after="120"/>
            </w:pPr>
            <w:r w:rsidRPr="001515F8">
              <w:rPr>
                <w:lang w:val="en-CA"/>
              </w:rPr>
              <w:t xml:space="preserve">include parents, teachers, </w:t>
            </w:r>
            <w:r w:rsidRPr="00014ADB">
              <w:rPr>
                <w:lang w:val="en-CA"/>
              </w:rPr>
              <w:t>elders</w:t>
            </w:r>
            <w:r w:rsidRPr="001515F8">
              <w:rPr>
                <w:lang w:val="en-CA"/>
              </w:rPr>
              <w:t>, coaches, extended family, other adults, or peers</w:t>
            </w:r>
          </w:p>
        </w:tc>
        <w:tc>
          <w:tcPr>
            <w:tcW w:w="1978" w:type="dxa"/>
            <w:shd w:val="clear" w:color="auto" w:fill="F2F2F2" w:themeFill="background1" w:themeFillShade="F2"/>
          </w:tcPr>
          <w:p w14:paraId="6D4362FA" w14:textId="77777777" w:rsidR="00014ADB" w:rsidRPr="002B7AF9" w:rsidRDefault="00014ADB" w:rsidP="00014ADB">
            <w:pPr>
              <w:pStyle w:val="Tablebodybold"/>
            </w:pPr>
            <w:r w:rsidRPr="002B7AF9">
              <w:t>Recognize and appreciate how different features, forms, and genres of texts reflect different purposes, audiences, and messages</w:t>
            </w:r>
          </w:p>
          <w:p w14:paraId="4D38F526" w14:textId="61EB42A7" w:rsidR="00014ADB" w:rsidRPr="002B7AF9" w:rsidRDefault="00014ADB" w:rsidP="00014ADB">
            <w:pPr>
              <w:pStyle w:val="Tablebodybold"/>
            </w:pPr>
            <w:r w:rsidRPr="002B7AF9">
              <w:t>Recognize and identify the role of personal, social, and cultural</w:t>
            </w:r>
            <w:r>
              <w:t xml:space="preserve"> </w:t>
            </w:r>
            <w:r w:rsidRPr="002B7AF9">
              <w:t>contexts, values, and perspectives in texts</w:t>
            </w:r>
          </w:p>
          <w:p w14:paraId="1D21950A" w14:textId="77777777" w:rsidR="00014ADB" w:rsidRPr="002B7AF9" w:rsidRDefault="00014ADB" w:rsidP="00014ADB">
            <w:pPr>
              <w:pStyle w:val="Keyquestions"/>
            </w:pPr>
            <w:r w:rsidRPr="002B7AF9">
              <w:t>personal, social, and cultural contexts, values, and perspectives</w:t>
            </w:r>
          </w:p>
          <w:p w14:paraId="2C5F5921" w14:textId="77777777" w:rsidR="00014ADB" w:rsidRPr="00C03A3A" w:rsidRDefault="00014ADB" w:rsidP="00014ADB">
            <w:pPr>
              <w:pStyle w:val="Bullet"/>
            </w:pPr>
            <w:r w:rsidRPr="002B7AF9">
              <w:t>Students should be prompted to consider the influence of family, friends, activities, religion, gender, and place on texts, and the relationship between text and context</w:t>
            </w:r>
          </w:p>
          <w:p w14:paraId="60EB1F2D" w14:textId="77777777" w:rsidR="00014ADB" w:rsidRPr="002B7AF9" w:rsidRDefault="00014ADB" w:rsidP="00014ADB">
            <w:pPr>
              <w:pStyle w:val="Tablebodybold"/>
            </w:pPr>
            <w:r w:rsidRPr="002B7AF9">
              <w:t>Recognize how language constructs personal, social, and cultural identity</w:t>
            </w:r>
          </w:p>
          <w:p w14:paraId="3717F989" w14:textId="77777777" w:rsidR="00014ADB" w:rsidRPr="002B7AF9" w:rsidRDefault="00014ADB" w:rsidP="00014ADB">
            <w:pPr>
              <w:pStyle w:val="Keyquestions"/>
            </w:pPr>
            <w:r w:rsidRPr="002B7AF9">
              <w:t xml:space="preserve">how language constructs personal, social, and cultural identity: </w:t>
            </w:r>
          </w:p>
          <w:p w14:paraId="2FC63EDA" w14:textId="18C237E6" w:rsidR="00014ADB" w:rsidRDefault="00014ADB" w:rsidP="00014ADB">
            <w:pPr>
              <w:pStyle w:val="Bullet2"/>
            </w:pPr>
            <w:r w:rsidRPr="002B7AF9">
              <w:t>Our sense of individuality and belonging is a product of for example, the language</w:t>
            </w:r>
            <w:r>
              <w:t xml:space="preserve"> </w:t>
            </w:r>
            <w:r w:rsidRPr="002B7AF9">
              <w:t>we use; oral tradition, story, and recorded history; cultural aspects; and formal and informal language use. Students should be prompted to consider the impact of language in their lives.</w:t>
            </w:r>
          </w:p>
        </w:tc>
        <w:tc>
          <w:tcPr>
            <w:tcW w:w="1768" w:type="dxa"/>
            <w:shd w:val="clear" w:color="auto" w:fill="F2F2F2" w:themeFill="background1" w:themeFillShade="F2"/>
          </w:tcPr>
          <w:p w14:paraId="63660FAE" w14:textId="17D0F98E" w:rsidR="00014ADB" w:rsidRPr="00E867F8" w:rsidRDefault="00014ADB" w:rsidP="00014ADB">
            <w:pPr>
              <w:pStyle w:val="Tablebodybold"/>
            </w:pPr>
            <w:r>
              <w:rPr>
                <w:lang w:val="en-CA"/>
              </w:rPr>
              <w:t>Consider the role that the message of a text plays in society and the ways in which it is perceived, depending on the era and society</w:t>
            </w:r>
          </w:p>
        </w:tc>
        <w:tc>
          <w:tcPr>
            <w:tcW w:w="1885" w:type="dxa"/>
            <w:shd w:val="clear" w:color="auto" w:fill="F2F2F2" w:themeFill="background1" w:themeFillShade="F2"/>
          </w:tcPr>
          <w:p w14:paraId="43A3A9BC" w14:textId="4114BE74" w:rsidR="00014ADB" w:rsidRPr="00F3384D" w:rsidRDefault="00014ADB" w:rsidP="00014ADB">
            <w:pPr>
              <w:pStyle w:val="Tablebodybold"/>
              <w:rPr>
                <w:rFonts w:ascii="Helvetica-Bold" w:hAnsi="Helvetica-Bold" w:cs="Helvetica-Bold"/>
                <w:b w:val="0"/>
                <w:bCs/>
                <w:lang w:val="en-CA"/>
              </w:rPr>
            </w:pPr>
            <w:r>
              <w:rPr>
                <w:lang w:val="en-CA"/>
              </w:rPr>
              <w:t>Identify the characteristics of tex</w:t>
            </w:r>
            <w:r w:rsidRPr="00F3384D">
              <w:rPr>
                <w:lang w:val="en-CA"/>
              </w:rPr>
              <w:t xml:space="preserve">ts under study to deepen one’s understandings </w:t>
            </w:r>
            <w:r w:rsidRPr="00F3384D">
              <w:rPr>
                <w:rFonts w:ascii="Helvetica-Bold" w:hAnsi="Helvetica-Bold" w:cs="Helvetica-Bold"/>
                <w:bCs/>
                <w:lang w:val="en-CA"/>
              </w:rPr>
              <w:t>of a society</w:t>
            </w:r>
          </w:p>
          <w:p w14:paraId="5D7461EC" w14:textId="13369104" w:rsidR="00014ADB" w:rsidRDefault="00014ADB" w:rsidP="00014ADB">
            <w:pPr>
              <w:pStyle w:val="Tablebodybold"/>
            </w:pPr>
            <w:r w:rsidRPr="00F3384D">
              <w:rPr>
                <w:lang w:val="en-CA"/>
              </w:rPr>
              <w:t>Distinguish between li</w:t>
            </w:r>
            <w:r w:rsidRPr="009948DC">
              <w:rPr>
                <w:lang w:val="en-CA"/>
              </w:rPr>
              <w:t>teral meaning and figurative meaning</w:t>
            </w:r>
          </w:p>
        </w:tc>
        <w:tc>
          <w:tcPr>
            <w:tcW w:w="1875" w:type="dxa"/>
            <w:shd w:val="clear" w:color="auto" w:fill="F2F2F2" w:themeFill="background1" w:themeFillShade="F2"/>
          </w:tcPr>
          <w:p w14:paraId="75BEF64E" w14:textId="77777777" w:rsidR="00014ADB" w:rsidRPr="008A2A37" w:rsidRDefault="00014ADB" w:rsidP="00014ADB">
            <w:pPr>
              <w:pStyle w:val="Tablebodybold"/>
              <w:rPr>
                <w:i/>
                <w:lang w:val="en-CA"/>
              </w:rPr>
            </w:pPr>
            <w:proofErr w:type="spellStart"/>
            <w:r w:rsidRPr="008A2A37">
              <w:rPr>
                <w:i/>
                <w:lang w:val="en-CA"/>
              </w:rPr>
              <w:t>ASL</w:t>
            </w:r>
            <w:proofErr w:type="spellEnd"/>
            <w:r w:rsidRPr="008A2A37">
              <w:rPr>
                <w:i/>
                <w:lang w:val="en-CA"/>
              </w:rPr>
              <w:t>, German, Italian, Japanese, Korean, Mandarin, Punjabi, Spanish:</w:t>
            </w:r>
          </w:p>
          <w:p w14:paraId="39FBF31D" w14:textId="53DB3D8F" w:rsidR="00014ADB" w:rsidRDefault="00014ADB" w:rsidP="00014ADB">
            <w:pPr>
              <w:pStyle w:val="Tablebodybold"/>
              <w:rPr>
                <w:lang w:val="en-CA"/>
              </w:rPr>
            </w:pPr>
            <w:r>
              <w:rPr>
                <w:lang w:val="en-CA"/>
              </w:rPr>
              <w:t>Examine personal, shared, and others’ experiences, perspectives, and worldviews through a cultural lens</w:t>
            </w:r>
          </w:p>
          <w:p w14:paraId="11AA8537" w14:textId="77777777" w:rsidR="00014ADB" w:rsidRPr="008659A1" w:rsidRDefault="00014ADB" w:rsidP="00014ADB">
            <w:pPr>
              <w:pStyle w:val="Bullet"/>
            </w:pPr>
            <w:r w:rsidRPr="008659A1">
              <w:t>e.g., values, practices, traditions, perceptions</w:t>
            </w:r>
          </w:p>
          <w:p w14:paraId="55C5551D" w14:textId="77777777" w:rsidR="00014ADB" w:rsidRPr="008A2A37" w:rsidRDefault="00014ADB" w:rsidP="00014ADB">
            <w:pPr>
              <w:pStyle w:val="Tablebodybold"/>
              <w:rPr>
                <w:i/>
                <w:lang w:val="en-CA"/>
              </w:rPr>
            </w:pPr>
            <w:r w:rsidRPr="008A2A37">
              <w:rPr>
                <w:i/>
                <w:lang w:val="en-CA"/>
              </w:rPr>
              <w:t>Core French:</w:t>
            </w:r>
          </w:p>
          <w:p w14:paraId="0E5F13FA" w14:textId="77777777" w:rsidR="00014ADB" w:rsidRDefault="00014ADB" w:rsidP="00014ADB">
            <w:pPr>
              <w:pStyle w:val="Tablebodybold"/>
              <w:rPr>
                <w:lang w:val="en-CA"/>
              </w:rPr>
            </w:pPr>
            <w:r>
              <w:rPr>
                <w:lang w:val="en-CA"/>
              </w:rPr>
              <w:t>Explore ways in which Francophone cultures are expressed through creative works</w:t>
            </w:r>
          </w:p>
          <w:p w14:paraId="169BF261" w14:textId="77777777" w:rsidR="00014ADB" w:rsidRDefault="00014ADB" w:rsidP="00014ADB">
            <w:pPr>
              <w:pStyle w:val="Tablebodybold"/>
              <w:rPr>
                <w:lang w:val="en-CA"/>
              </w:rPr>
            </w:pPr>
            <w:r>
              <w:rPr>
                <w:lang w:val="en-CA"/>
              </w:rPr>
              <w:t>Explore cultural practices and traditions in various Francophone regions, and their role in identity</w:t>
            </w:r>
          </w:p>
          <w:p w14:paraId="6DC85AE5" w14:textId="77777777" w:rsidR="00014ADB" w:rsidRDefault="00014ADB" w:rsidP="00014ADB">
            <w:pPr>
              <w:pStyle w:val="Tablebodybold"/>
              <w:rPr>
                <w:lang w:val="en-CA"/>
              </w:rPr>
            </w:pPr>
            <w:r>
              <w:rPr>
                <w:lang w:val="en-CA"/>
              </w:rPr>
              <w:t>Describe similarities and differences between their own cultural practices and traditions and those of Francophone communities in various regions</w:t>
            </w:r>
          </w:p>
          <w:p w14:paraId="3FAC3E22" w14:textId="77777777" w:rsidR="00014ADB" w:rsidRDefault="00014ADB" w:rsidP="00014ADB">
            <w:pPr>
              <w:pStyle w:val="Tablebodybold"/>
              <w:rPr>
                <w:lang w:val="en-CA"/>
              </w:rPr>
            </w:pPr>
            <w:r>
              <w:rPr>
                <w:lang w:val="en-CA"/>
              </w:rPr>
              <w:t>Explore the importance of story in personal, family, and community identity</w:t>
            </w:r>
          </w:p>
          <w:p w14:paraId="4DD882E8" w14:textId="77777777" w:rsidR="00014ADB" w:rsidRPr="00B61A6C" w:rsidRDefault="00014ADB" w:rsidP="00014ADB">
            <w:pPr>
              <w:pStyle w:val="Tablebodybold"/>
              <w:rPr>
                <w:lang w:val="en-CA"/>
              </w:rPr>
            </w:pPr>
            <w:r w:rsidRPr="00B61A6C">
              <w:rPr>
                <w:lang w:val="en-CA"/>
              </w:rPr>
              <w:t>Engage in experiences with Francophone communities and people</w:t>
            </w:r>
          </w:p>
          <w:p w14:paraId="0622CEFC" w14:textId="77777777" w:rsidR="00014ADB" w:rsidRPr="008A2A37" w:rsidRDefault="00014ADB" w:rsidP="00014ADB">
            <w:pPr>
              <w:pStyle w:val="Tablebodybold"/>
              <w:rPr>
                <w:i/>
                <w:lang w:val="en-CA"/>
              </w:rPr>
            </w:pPr>
            <w:r w:rsidRPr="008A2A37">
              <w:rPr>
                <w:i/>
                <w:lang w:val="en-CA"/>
              </w:rPr>
              <w:t>German, Italian, Japanese, Korean, Mandarin, Punjabi, Spanish:</w:t>
            </w:r>
          </w:p>
          <w:p w14:paraId="54DD8129" w14:textId="5F097D8C" w:rsidR="00014ADB" w:rsidRPr="00014ADB" w:rsidRDefault="00014ADB" w:rsidP="00014ADB">
            <w:pPr>
              <w:pStyle w:val="Tablebodybold"/>
              <w:rPr>
                <w:lang w:val="en-CA"/>
              </w:rPr>
            </w:pPr>
            <w:r w:rsidRPr="00317530">
              <w:rPr>
                <w:lang w:val="en-CA"/>
              </w:rPr>
              <w:t>Recognize the importance of story in personal, family, and community identity</w:t>
            </w:r>
          </w:p>
        </w:tc>
        <w:tc>
          <w:tcPr>
            <w:tcW w:w="1480" w:type="dxa"/>
            <w:shd w:val="clear" w:color="auto" w:fill="F2F2F2" w:themeFill="background1" w:themeFillShade="F2"/>
          </w:tcPr>
          <w:p w14:paraId="0074F5B4" w14:textId="2864ACAC" w:rsidR="00014ADB" w:rsidRPr="00014ADB" w:rsidRDefault="00014ADB" w:rsidP="00014ADB"/>
        </w:tc>
        <w:tc>
          <w:tcPr>
            <w:tcW w:w="1570" w:type="dxa"/>
            <w:shd w:val="clear" w:color="auto" w:fill="F2F2F2" w:themeFill="background1" w:themeFillShade="F2"/>
          </w:tcPr>
          <w:p w14:paraId="11449533" w14:textId="77777777" w:rsidR="00014ADB" w:rsidRDefault="00014ADB" w:rsidP="00014ADB">
            <w:pPr>
              <w:pStyle w:val="Tablebodybold"/>
            </w:pPr>
            <w:r>
              <w:t>Analyze strategies for promoting mental well-being, for self and others</w:t>
            </w:r>
          </w:p>
          <w:p w14:paraId="5E27F48D" w14:textId="0F1C7D47" w:rsidR="00014ADB" w:rsidRDefault="00014ADB" w:rsidP="00014ADB">
            <w:pPr>
              <w:pStyle w:val="Tablebodybold"/>
            </w:pPr>
            <w:r>
              <w:t>Explore and describe factors that shape personal identities, including social and cultural factors</w:t>
            </w:r>
          </w:p>
        </w:tc>
        <w:tc>
          <w:tcPr>
            <w:tcW w:w="2388" w:type="dxa"/>
            <w:shd w:val="clear" w:color="auto" w:fill="F2F2F2" w:themeFill="background1" w:themeFillShade="F2"/>
          </w:tcPr>
          <w:p w14:paraId="12F1DF6E" w14:textId="77777777" w:rsidR="00014ADB" w:rsidRPr="008013E8" w:rsidRDefault="00014ADB" w:rsidP="00014ADB">
            <w:pPr>
              <w:pStyle w:val="Tablebodybold"/>
            </w:pPr>
            <w:r w:rsidRPr="008013E8">
              <w:t>Experience and inter</w:t>
            </w:r>
            <w:r w:rsidRPr="00014ADB">
              <w:t>p</w:t>
            </w:r>
            <w:r w:rsidRPr="008013E8">
              <w:t>ret the local environment</w:t>
            </w:r>
          </w:p>
          <w:p w14:paraId="64153C2D" w14:textId="77777777" w:rsidR="00014ADB" w:rsidRPr="008013E8" w:rsidRDefault="00014ADB" w:rsidP="00014ADB">
            <w:pPr>
              <w:pStyle w:val="Tablebodybold"/>
            </w:pPr>
            <w:r w:rsidRPr="008013E8">
              <w:t>Demonstrate an understanding and appreciation of evidence (qualitative and quantitative)</w:t>
            </w:r>
          </w:p>
          <w:p w14:paraId="1DB2738D" w14:textId="77777777" w:rsidR="00014ADB" w:rsidRPr="008013E8" w:rsidRDefault="00014ADB" w:rsidP="00014ADB">
            <w:pPr>
              <w:pStyle w:val="Tablebodybold"/>
            </w:pPr>
            <w:r w:rsidRPr="008013E8">
              <w:t>Express and reflect on a variety</w:t>
            </w:r>
            <w:r w:rsidRPr="00014ADB">
              <w:t xml:space="preserve"> </w:t>
            </w:r>
            <w:r w:rsidRPr="008013E8">
              <w:t>of experiences and perspectives of place</w:t>
            </w:r>
          </w:p>
          <w:p w14:paraId="62079C99" w14:textId="77777777" w:rsidR="00014ADB" w:rsidRPr="008013E8" w:rsidRDefault="00014ADB" w:rsidP="00014ADB">
            <w:pPr>
              <w:pStyle w:val="Bullet"/>
            </w:pPr>
            <w:r w:rsidRPr="008013E8">
              <w:t>Place is any environment, locality, or context with which people interact to learn, create memory, reflect on history, connect with culture, and establish identity. The connection between people and place is foundational to First Peoples perspectives of the world.</w:t>
            </w:r>
          </w:p>
          <w:p w14:paraId="590F7225" w14:textId="77777777" w:rsidR="00014ADB" w:rsidRPr="008013E8" w:rsidRDefault="00014ADB" w:rsidP="00014ADB">
            <w:pPr>
              <w:pStyle w:val="Keyquestions"/>
            </w:pPr>
            <w:r w:rsidRPr="008013E8">
              <w:t>Key questions about place:</w:t>
            </w:r>
          </w:p>
          <w:p w14:paraId="409AEA1B" w14:textId="77777777" w:rsidR="00014ADB" w:rsidRDefault="00014ADB" w:rsidP="00014ADB">
            <w:pPr>
              <w:pStyle w:val="Bullet2"/>
            </w:pPr>
            <w:r w:rsidRPr="008013E8">
              <w:t>How does place inform your questions and inquiries?</w:t>
            </w:r>
          </w:p>
          <w:p w14:paraId="1213E088" w14:textId="77777777" w:rsidR="00014ADB" w:rsidRDefault="00014ADB" w:rsidP="00014ADB">
            <w:pPr>
              <w:pStyle w:val="Bullet2"/>
            </w:pPr>
            <w:r w:rsidRPr="008013E8">
              <w:t>How does place influence your ability to plan and conduct an inquiry and make predictions about outcomes?</w:t>
            </w:r>
          </w:p>
          <w:p w14:paraId="1F998944" w14:textId="77777777" w:rsidR="00014ADB" w:rsidRDefault="00014ADB" w:rsidP="00014ADB">
            <w:pPr>
              <w:pStyle w:val="Bullet2"/>
            </w:pPr>
            <w:r w:rsidRPr="008013E8">
              <w:t>How does your understanding of place affect the ways in which you collect evidence and evaluate it?</w:t>
            </w:r>
          </w:p>
          <w:p w14:paraId="6033B098" w14:textId="77777777" w:rsidR="00014ADB" w:rsidRDefault="00014ADB" w:rsidP="00014ADB">
            <w:pPr>
              <w:pStyle w:val="Bullet2"/>
            </w:pPr>
            <w:r w:rsidRPr="008013E8">
              <w:t>As you consider the significance, worth, or value of an outcome or finding, how can you show different ways of knowing?</w:t>
            </w:r>
          </w:p>
          <w:p w14:paraId="3A0AAE95" w14:textId="77777777" w:rsidR="00014ADB" w:rsidRPr="008013E8" w:rsidRDefault="00014ADB" w:rsidP="00014ADB">
            <w:pPr>
              <w:pStyle w:val="Bullet2"/>
            </w:pPr>
            <w:r w:rsidRPr="008013E8">
              <w:t>How can your understanding of place influence project designs?</w:t>
            </w:r>
          </w:p>
          <w:p w14:paraId="3AB657C0" w14:textId="46D84B2B" w:rsidR="00014ADB" w:rsidRDefault="00014ADB" w:rsidP="00014ADB">
            <w:pPr>
              <w:pStyle w:val="Bullet2"/>
            </w:pPr>
            <w:r w:rsidRPr="008013E8">
              <w:t>How do the place-based experiences and stories of others affect the ways in which you communicate and collaborate?</w:t>
            </w:r>
          </w:p>
        </w:tc>
        <w:tc>
          <w:tcPr>
            <w:tcW w:w="2380" w:type="dxa"/>
            <w:shd w:val="clear" w:color="auto" w:fill="F2F2F2" w:themeFill="background1" w:themeFillShade="F2"/>
          </w:tcPr>
          <w:p w14:paraId="108638C9" w14:textId="77777777" w:rsidR="00014ADB" w:rsidRDefault="00014ADB" w:rsidP="00014ADB">
            <w:pPr>
              <w:pStyle w:val="Tablebodybold"/>
            </w:pPr>
            <w:r>
              <w:t>Assess the significance of people, places, events, or developments at particular times and places, and from group to group</w:t>
            </w:r>
          </w:p>
          <w:p w14:paraId="3045FCC6" w14:textId="41309E73" w:rsidR="00014ADB" w:rsidRDefault="00014ADB" w:rsidP="00F3384D">
            <w:pPr>
              <w:pStyle w:val="Bullet"/>
            </w:pPr>
            <w:r>
              <w:t>Compare and contrast the events considered by English-Canadian, French-Canadian,</w:t>
            </w:r>
            <w:r w:rsidR="00F3384D">
              <w:t xml:space="preserve"> </w:t>
            </w:r>
            <w:r>
              <w:t xml:space="preserve">and First Peoples scholars to be the most significant during this period </w:t>
            </w:r>
          </w:p>
          <w:p w14:paraId="07FEF35A" w14:textId="77777777" w:rsidR="00014ADB" w:rsidRDefault="00014ADB" w:rsidP="00014ADB">
            <w:pPr>
              <w:pStyle w:val="Tablebodybold"/>
            </w:pPr>
            <w:r>
              <w:t>Assess the justification for competing historical accounts after investigating points of contention, reliability of sources, and adequacy of evidence</w:t>
            </w:r>
          </w:p>
          <w:p w14:paraId="5ACA78BE" w14:textId="77777777" w:rsidR="00014ADB" w:rsidRDefault="00014ADB" w:rsidP="00014ADB">
            <w:pPr>
              <w:pStyle w:val="Bullet"/>
            </w:pPr>
            <w:r>
              <w:t xml:space="preserve">What evidence is there that imperialism and colonialism still influence present-day relationship between countries and groups? </w:t>
            </w:r>
          </w:p>
          <w:p w14:paraId="248701F1" w14:textId="77777777" w:rsidR="00014ADB" w:rsidRDefault="00014ADB" w:rsidP="00014ADB">
            <w:pPr>
              <w:pStyle w:val="Tablebodybold"/>
            </w:pPr>
            <w:r w:rsidRPr="00526170">
              <w:t>Compare and contrast continuities and changes for different groups at the same time period</w:t>
            </w:r>
          </w:p>
          <w:p w14:paraId="57C283B7" w14:textId="28E3C557" w:rsidR="00014ADB" w:rsidRPr="00014ADB" w:rsidRDefault="00014ADB" w:rsidP="0012094B">
            <w:pPr>
              <w:pStyle w:val="Bullet"/>
              <w:rPr>
                <w:b/>
              </w:rPr>
            </w:pPr>
            <w:r w:rsidRPr="00526170">
              <w:t>In what ways has the colonization of Canada made life better or worse? And for whom?</w:t>
            </w:r>
          </w:p>
          <w:p w14:paraId="5C43F85E" w14:textId="77777777" w:rsidR="00014ADB" w:rsidRDefault="00014ADB" w:rsidP="00014ADB">
            <w:pPr>
              <w:pStyle w:val="Tablebodybold"/>
            </w:pPr>
            <w:r>
              <w:t>Assess how prevailing conditions and the actions of individuals or groups affect events, decisions, or developments</w:t>
            </w:r>
          </w:p>
          <w:p w14:paraId="369C15C6" w14:textId="77777777" w:rsidR="00014ADB" w:rsidRPr="00526170" w:rsidRDefault="00014ADB" w:rsidP="00014ADB">
            <w:pPr>
              <w:pStyle w:val="Bullet"/>
              <w:rPr>
                <w:b/>
              </w:rPr>
            </w:pPr>
            <w:r w:rsidRPr="00526170">
              <w:t>What are the most significant reasons for colonial expansion?</w:t>
            </w:r>
          </w:p>
          <w:p w14:paraId="1CFC2ECA" w14:textId="77777777" w:rsidR="00014ADB" w:rsidRDefault="00014ADB" w:rsidP="00014ADB">
            <w:pPr>
              <w:pStyle w:val="Tablebodybold"/>
            </w:pPr>
            <w:r>
              <w:t>Explain and infer different perspectives on past or present people, places, issues, or events by considering prevailing norms, values, worldviews, and beliefs</w:t>
            </w:r>
          </w:p>
          <w:p w14:paraId="5C5C1311" w14:textId="6EC85159" w:rsidR="00014ADB" w:rsidRPr="00014ADB" w:rsidRDefault="00014ADB" w:rsidP="00014ADB">
            <w:pPr>
              <w:pStyle w:val="Bullet"/>
              <w:rPr>
                <w:iCs/>
              </w:rPr>
            </w:pPr>
            <w:r w:rsidRPr="00526170">
              <w:t>Compare primary and secondary sources about a controversial historical person.</w:t>
            </w:r>
          </w:p>
        </w:tc>
      </w:tr>
      <w:tr w:rsidR="00014ADB" w14:paraId="0ED312F7" w14:textId="77777777" w:rsidTr="00014ADB">
        <w:tc>
          <w:tcPr>
            <w:tcW w:w="1572" w:type="dxa"/>
            <w:gridSpan w:val="2"/>
            <w:vAlign w:val="bottom"/>
          </w:tcPr>
          <w:p w14:paraId="055ECE50" w14:textId="77777777" w:rsidR="00014ADB" w:rsidRPr="004D4C72" w:rsidRDefault="00014ADB" w:rsidP="0012094B">
            <w:pPr>
              <w:pageBreakBefore/>
              <w:jc w:val="center"/>
              <w:rPr>
                <w:rFonts w:ascii="Century Gothic" w:hAnsi="Century Gothic"/>
                <w:b/>
                <w:sz w:val="20"/>
                <w:szCs w:val="20"/>
              </w:rPr>
            </w:pPr>
          </w:p>
        </w:tc>
        <w:tc>
          <w:tcPr>
            <w:tcW w:w="2092" w:type="dxa"/>
            <w:shd w:val="clear" w:color="auto" w:fill="FEECBC"/>
            <w:vAlign w:val="center"/>
          </w:tcPr>
          <w:p w14:paraId="211D9647" w14:textId="77777777" w:rsidR="00014ADB" w:rsidRPr="004D4C72" w:rsidRDefault="00014ADB" w:rsidP="0012094B">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795" w:type="dxa"/>
            <w:shd w:val="clear" w:color="auto" w:fill="FEECBC"/>
            <w:vAlign w:val="center"/>
          </w:tcPr>
          <w:p w14:paraId="071AD2A6" w14:textId="77777777" w:rsidR="00014ADB" w:rsidRPr="004D4C72" w:rsidRDefault="00014ADB" w:rsidP="0012094B">
            <w:pPr>
              <w:jc w:val="center"/>
              <w:rPr>
                <w:rFonts w:ascii="Century Gothic" w:hAnsi="Century Gothic"/>
                <w:b/>
                <w:sz w:val="20"/>
                <w:szCs w:val="20"/>
              </w:rPr>
            </w:pPr>
            <w:r w:rsidRPr="004D4C72">
              <w:rPr>
                <w:rFonts w:ascii="Century Gothic" w:hAnsi="Century Gothic"/>
                <w:b/>
                <w:sz w:val="20"/>
                <w:szCs w:val="20"/>
              </w:rPr>
              <w:t>Arts</w:t>
            </w:r>
          </w:p>
        </w:tc>
        <w:tc>
          <w:tcPr>
            <w:tcW w:w="1766" w:type="dxa"/>
            <w:shd w:val="clear" w:color="auto" w:fill="FEECBC"/>
            <w:vAlign w:val="center"/>
          </w:tcPr>
          <w:p w14:paraId="2B0FEE44" w14:textId="77777777" w:rsidR="00014ADB" w:rsidRPr="004D4C72" w:rsidRDefault="00014ADB" w:rsidP="0012094B">
            <w:pPr>
              <w:jc w:val="center"/>
              <w:rPr>
                <w:rFonts w:ascii="Century Gothic" w:hAnsi="Century Gothic"/>
                <w:b/>
                <w:sz w:val="20"/>
                <w:szCs w:val="20"/>
              </w:rPr>
            </w:pPr>
            <w:r w:rsidRPr="004D4C72">
              <w:rPr>
                <w:rFonts w:ascii="Century Gothic" w:hAnsi="Century Gothic"/>
                <w:b/>
                <w:sz w:val="20"/>
                <w:szCs w:val="20"/>
              </w:rPr>
              <w:t>Career Ed.</w:t>
            </w:r>
          </w:p>
        </w:tc>
        <w:tc>
          <w:tcPr>
            <w:tcW w:w="1978" w:type="dxa"/>
            <w:shd w:val="clear" w:color="auto" w:fill="FEECBC"/>
            <w:vAlign w:val="center"/>
          </w:tcPr>
          <w:p w14:paraId="1D3476E1" w14:textId="77777777" w:rsidR="00014ADB" w:rsidRPr="004D4C72" w:rsidRDefault="00014ADB" w:rsidP="0012094B">
            <w:pPr>
              <w:jc w:val="center"/>
              <w:rPr>
                <w:rFonts w:ascii="Century Gothic" w:hAnsi="Century Gothic"/>
                <w:b/>
                <w:sz w:val="20"/>
                <w:szCs w:val="20"/>
              </w:rPr>
            </w:pPr>
            <w:r w:rsidRPr="004D4C72">
              <w:rPr>
                <w:rFonts w:ascii="Century Gothic" w:hAnsi="Century Gothic"/>
                <w:b/>
                <w:sz w:val="20"/>
                <w:szCs w:val="20"/>
              </w:rPr>
              <w:t>ELA</w:t>
            </w:r>
          </w:p>
        </w:tc>
        <w:tc>
          <w:tcPr>
            <w:tcW w:w="1768" w:type="dxa"/>
            <w:shd w:val="clear" w:color="auto" w:fill="FEECBC"/>
            <w:vAlign w:val="center"/>
          </w:tcPr>
          <w:p w14:paraId="00C156DB" w14:textId="77777777" w:rsidR="00014ADB" w:rsidRPr="004D4C72" w:rsidRDefault="00014ADB" w:rsidP="0012094B">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885" w:type="dxa"/>
            <w:shd w:val="clear" w:color="auto" w:fill="FEECBC"/>
            <w:vAlign w:val="center"/>
          </w:tcPr>
          <w:p w14:paraId="142DBD1E" w14:textId="77777777" w:rsidR="00014ADB" w:rsidRPr="004D4C72" w:rsidRDefault="00014ADB" w:rsidP="0012094B">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Pr>
                <w:rFonts w:ascii="Century Gothic" w:hAnsi="Century Gothic"/>
                <w:b/>
                <w:sz w:val="20"/>
                <w:szCs w:val="20"/>
              </w:rPr>
              <w:t>–</w:t>
            </w:r>
            <w:r w:rsidRPr="004D4C72">
              <w:rPr>
                <w:rFonts w:ascii="Century Gothic" w:hAnsi="Century Gothic"/>
                <w:b/>
                <w:sz w:val="20"/>
                <w:szCs w:val="20"/>
              </w:rPr>
              <w:t xml:space="preserve"> immersion</w:t>
            </w:r>
          </w:p>
        </w:tc>
        <w:tc>
          <w:tcPr>
            <w:tcW w:w="1875" w:type="dxa"/>
            <w:shd w:val="clear" w:color="auto" w:fill="FEECBC"/>
            <w:vAlign w:val="center"/>
          </w:tcPr>
          <w:p w14:paraId="39BCEC29" w14:textId="77777777" w:rsidR="00014ADB" w:rsidRPr="004D4C72" w:rsidRDefault="00014ADB" w:rsidP="0012094B">
            <w:pPr>
              <w:jc w:val="center"/>
              <w:rPr>
                <w:rFonts w:ascii="Century Gothic" w:hAnsi="Century Gothic"/>
                <w:b/>
                <w:sz w:val="20"/>
                <w:szCs w:val="20"/>
              </w:rPr>
            </w:pPr>
            <w:r w:rsidRPr="004D4C72">
              <w:rPr>
                <w:rFonts w:ascii="Century Gothic" w:hAnsi="Century Gothic"/>
                <w:b/>
                <w:sz w:val="20"/>
                <w:szCs w:val="20"/>
              </w:rPr>
              <w:t>Languages</w:t>
            </w:r>
          </w:p>
        </w:tc>
        <w:tc>
          <w:tcPr>
            <w:tcW w:w="1480" w:type="dxa"/>
            <w:shd w:val="clear" w:color="auto" w:fill="FEECBC"/>
            <w:vAlign w:val="center"/>
          </w:tcPr>
          <w:p w14:paraId="1FBCB215" w14:textId="77777777" w:rsidR="00014ADB" w:rsidRPr="004D4C72" w:rsidRDefault="00014ADB" w:rsidP="0012094B">
            <w:pPr>
              <w:jc w:val="center"/>
              <w:rPr>
                <w:rFonts w:ascii="Century Gothic" w:hAnsi="Century Gothic"/>
                <w:b/>
                <w:sz w:val="20"/>
                <w:szCs w:val="20"/>
              </w:rPr>
            </w:pPr>
            <w:r w:rsidRPr="004D4C72">
              <w:rPr>
                <w:rFonts w:ascii="Century Gothic" w:hAnsi="Century Gothic"/>
                <w:b/>
                <w:sz w:val="20"/>
                <w:szCs w:val="20"/>
              </w:rPr>
              <w:t>Mathematics</w:t>
            </w:r>
          </w:p>
        </w:tc>
        <w:tc>
          <w:tcPr>
            <w:tcW w:w="1570" w:type="dxa"/>
            <w:shd w:val="clear" w:color="auto" w:fill="FEECBC"/>
            <w:vAlign w:val="center"/>
          </w:tcPr>
          <w:p w14:paraId="25088EDF" w14:textId="77777777" w:rsidR="00014ADB" w:rsidRPr="004D4C72" w:rsidRDefault="00014ADB" w:rsidP="0012094B">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2388" w:type="dxa"/>
            <w:shd w:val="clear" w:color="auto" w:fill="FEECBC"/>
            <w:vAlign w:val="center"/>
          </w:tcPr>
          <w:p w14:paraId="545DC02D" w14:textId="77777777" w:rsidR="00014ADB" w:rsidRPr="004D4C72" w:rsidRDefault="00014ADB" w:rsidP="0012094B">
            <w:pPr>
              <w:jc w:val="center"/>
              <w:rPr>
                <w:rFonts w:ascii="Century Gothic" w:hAnsi="Century Gothic"/>
                <w:b/>
                <w:sz w:val="20"/>
                <w:szCs w:val="20"/>
              </w:rPr>
            </w:pPr>
            <w:r w:rsidRPr="004D4C72">
              <w:rPr>
                <w:rFonts w:ascii="Century Gothic" w:hAnsi="Century Gothic"/>
                <w:b/>
                <w:sz w:val="20"/>
                <w:szCs w:val="20"/>
              </w:rPr>
              <w:t>Science</w:t>
            </w:r>
          </w:p>
        </w:tc>
        <w:tc>
          <w:tcPr>
            <w:tcW w:w="2380" w:type="dxa"/>
            <w:shd w:val="clear" w:color="auto" w:fill="FEECBC"/>
            <w:vAlign w:val="center"/>
          </w:tcPr>
          <w:p w14:paraId="2BA25CE9" w14:textId="77777777" w:rsidR="00014ADB" w:rsidRPr="004D4C72" w:rsidRDefault="00014ADB" w:rsidP="0012094B">
            <w:pPr>
              <w:jc w:val="center"/>
              <w:rPr>
                <w:rFonts w:ascii="Century Gothic" w:hAnsi="Century Gothic"/>
                <w:b/>
                <w:sz w:val="20"/>
                <w:szCs w:val="20"/>
              </w:rPr>
            </w:pPr>
            <w:r w:rsidRPr="004D4C72">
              <w:rPr>
                <w:rFonts w:ascii="Century Gothic" w:hAnsi="Century Gothic"/>
                <w:b/>
                <w:sz w:val="20"/>
                <w:szCs w:val="20"/>
              </w:rPr>
              <w:t>Social Studies</w:t>
            </w:r>
          </w:p>
        </w:tc>
      </w:tr>
      <w:tr w:rsidR="00014ADB" w14:paraId="34B6DB96" w14:textId="77777777" w:rsidTr="00014ADB">
        <w:trPr>
          <w:cantSplit/>
          <w:trHeight w:val="1134"/>
        </w:trPr>
        <w:tc>
          <w:tcPr>
            <w:tcW w:w="502" w:type="dxa"/>
            <w:shd w:val="clear" w:color="auto" w:fill="4A5F7C"/>
            <w:textDirection w:val="btLr"/>
            <w:vAlign w:val="center"/>
          </w:tcPr>
          <w:p w14:paraId="15E19EE1" w14:textId="44963150" w:rsidR="00014ADB" w:rsidRDefault="00014ADB" w:rsidP="002236C7">
            <w:pPr>
              <w:pStyle w:val="Body"/>
              <w:spacing w:after="0"/>
              <w:ind w:left="113" w:right="113"/>
              <w:jc w:val="center"/>
              <w:rPr>
                <w:rFonts w:ascii="Century Gothic" w:hAnsi="Century Gothic"/>
                <w:b/>
                <w:color w:val="FFFFFF" w:themeColor="background1"/>
                <w:sz w:val="28"/>
                <w:szCs w:val="28"/>
              </w:rPr>
            </w:pPr>
            <w:r>
              <w:rPr>
                <w:rFonts w:ascii="Century Gothic" w:hAnsi="Century Gothic"/>
                <w:b/>
                <w:color w:val="FFFFFF" w:themeColor="background1"/>
                <w:sz w:val="28"/>
                <w:szCs w:val="28"/>
              </w:rPr>
              <w:t>Curricular Competencies</w:t>
            </w:r>
          </w:p>
        </w:tc>
        <w:tc>
          <w:tcPr>
            <w:tcW w:w="1070" w:type="dxa"/>
            <w:shd w:val="clear" w:color="auto" w:fill="F2F2F2" w:themeFill="background1" w:themeFillShade="F2"/>
          </w:tcPr>
          <w:p w14:paraId="0B98E24D" w14:textId="2E11EDEA" w:rsidR="00014ADB" w:rsidRPr="00D46048" w:rsidRDefault="00014ADB" w:rsidP="008A4B8C">
            <w:pPr>
              <w:pStyle w:val="Body"/>
              <w:rPr>
                <w:rFonts w:ascii="Century Gothic" w:hAnsi="Century Gothic"/>
                <w:b/>
              </w:rPr>
            </w:pPr>
            <w:r w:rsidRPr="00D46048">
              <w:rPr>
                <w:rFonts w:ascii="Century Gothic" w:hAnsi="Century Gothic"/>
                <w:b/>
              </w:rPr>
              <w:t>Implicit</w:t>
            </w:r>
            <w:r>
              <w:rPr>
                <w:rFonts w:ascii="Century Gothic" w:hAnsi="Century Gothic"/>
                <w:b/>
              </w:rPr>
              <w:t xml:space="preserve"> (cont’d)</w:t>
            </w:r>
          </w:p>
        </w:tc>
        <w:tc>
          <w:tcPr>
            <w:tcW w:w="2092" w:type="dxa"/>
            <w:shd w:val="clear" w:color="auto" w:fill="F2F2F2" w:themeFill="background1" w:themeFillShade="F2"/>
          </w:tcPr>
          <w:p w14:paraId="7CF9B5A5" w14:textId="77777777" w:rsidR="00014ADB" w:rsidRDefault="00014ADB" w:rsidP="00014ADB">
            <w:pPr>
              <w:pStyle w:val="Tablebodybold"/>
              <w:rPr>
                <w:lang w:val="en-CA"/>
              </w:rPr>
            </w:pPr>
            <w:r>
              <w:rPr>
                <w:lang w:val="en-CA"/>
              </w:rPr>
              <w:t>Identify sources of feedback</w:t>
            </w:r>
          </w:p>
          <w:p w14:paraId="12BA66EB" w14:textId="77777777" w:rsidR="00014ADB" w:rsidRPr="00004377" w:rsidRDefault="00014ADB" w:rsidP="00014ADB">
            <w:pPr>
              <w:pStyle w:val="Bullet"/>
              <w:rPr>
                <w:lang w:val="en-CA"/>
              </w:rPr>
            </w:pPr>
            <w:r w:rsidRPr="00004377">
              <w:rPr>
                <w:lang w:val="en-CA"/>
              </w:rPr>
              <w:t>may include peers; users; keepers of traditional cultural knowledge and approaches,</w:t>
            </w:r>
            <w:r>
              <w:rPr>
                <w:lang w:val="en-CA"/>
              </w:rPr>
              <w:t xml:space="preserve"> </w:t>
            </w:r>
            <w:r w:rsidRPr="00004377">
              <w:rPr>
                <w:lang w:val="en-CA"/>
              </w:rPr>
              <w:t>including those of First Peoples; and other experts</w:t>
            </w:r>
          </w:p>
          <w:p w14:paraId="032E5F2C" w14:textId="140AEF1C" w:rsidR="00014ADB" w:rsidRDefault="00014ADB" w:rsidP="00014ADB">
            <w:pPr>
              <w:pStyle w:val="Tablebodybold"/>
              <w:rPr>
                <w:lang w:val="en-CA"/>
              </w:rPr>
            </w:pPr>
            <w:r w:rsidRPr="00014ADB">
              <w:rPr>
                <w:lang w:val="en-CA"/>
              </w:rPr>
              <w:t xml:space="preserve">Evaluate how the land, natural resources, and culture influence the development </w:t>
            </w:r>
            <w:r w:rsidRPr="00014ADB">
              <w:rPr>
                <w:rFonts w:ascii="Helvetica-Bold" w:hAnsi="Helvetica-Bold" w:cs="Helvetica-Bold"/>
                <w:bCs/>
                <w:lang w:val="en-CA"/>
              </w:rPr>
              <w:t>and use of tools and technologies</w:t>
            </w:r>
          </w:p>
        </w:tc>
        <w:tc>
          <w:tcPr>
            <w:tcW w:w="1795" w:type="dxa"/>
            <w:shd w:val="clear" w:color="auto" w:fill="F2F2F2" w:themeFill="background1" w:themeFillShade="F2"/>
          </w:tcPr>
          <w:p w14:paraId="2505BB21" w14:textId="77777777" w:rsidR="00014ADB" w:rsidRDefault="00014ADB" w:rsidP="00014ADB">
            <w:pPr>
              <w:pStyle w:val="Tablebodybold"/>
              <w:rPr>
                <w:lang w:val="en-CA"/>
              </w:rPr>
            </w:pPr>
          </w:p>
        </w:tc>
        <w:tc>
          <w:tcPr>
            <w:tcW w:w="1766" w:type="dxa"/>
            <w:shd w:val="clear" w:color="auto" w:fill="F2F2F2" w:themeFill="background1" w:themeFillShade="F2"/>
          </w:tcPr>
          <w:p w14:paraId="67E8B7E8" w14:textId="77777777" w:rsidR="00014ADB" w:rsidRDefault="00014ADB" w:rsidP="00014ADB">
            <w:pPr>
              <w:pStyle w:val="Tablebodybold"/>
              <w:rPr>
                <w:lang w:val="en-CA"/>
              </w:rPr>
            </w:pPr>
          </w:p>
        </w:tc>
        <w:tc>
          <w:tcPr>
            <w:tcW w:w="1978" w:type="dxa"/>
            <w:shd w:val="clear" w:color="auto" w:fill="F2F2F2" w:themeFill="background1" w:themeFillShade="F2"/>
          </w:tcPr>
          <w:p w14:paraId="6DE72AAC" w14:textId="77777777" w:rsidR="00014ADB" w:rsidRPr="00244A83" w:rsidRDefault="00014ADB" w:rsidP="00014ADB">
            <w:pPr>
              <w:pStyle w:val="Tablebodybold"/>
            </w:pPr>
            <w:r w:rsidRPr="00244A83">
              <w:t>Use and experiment with oral storytelling processes</w:t>
            </w:r>
          </w:p>
          <w:p w14:paraId="65E424BB" w14:textId="585D0A8F" w:rsidR="00014ADB" w:rsidRPr="002B7AF9" w:rsidRDefault="00014ADB" w:rsidP="00014ADB">
            <w:pPr>
              <w:pStyle w:val="Bullet"/>
            </w:pPr>
            <w:r w:rsidRPr="00244A83">
              <w:t>creating an original story or finding an existing story (with permission), sharing the story from memory with others, using vocal expression to clarify the meaning of the text, using non-verbal communication expressively to clarify the meaning, attending to stage presence, differentiating the storyteller’s natural voice from the characters’ voices, presenting the story efficiently, keeping the listener’s interest throughout</w:t>
            </w:r>
          </w:p>
        </w:tc>
        <w:tc>
          <w:tcPr>
            <w:tcW w:w="1768" w:type="dxa"/>
            <w:shd w:val="clear" w:color="auto" w:fill="F2F2F2" w:themeFill="background1" w:themeFillShade="F2"/>
          </w:tcPr>
          <w:p w14:paraId="7C6217E2" w14:textId="77777777" w:rsidR="00014ADB" w:rsidRDefault="00014ADB" w:rsidP="00014ADB">
            <w:pPr>
              <w:pStyle w:val="Tablebodybold"/>
              <w:rPr>
                <w:lang w:val="en-CA"/>
              </w:rPr>
            </w:pPr>
          </w:p>
        </w:tc>
        <w:tc>
          <w:tcPr>
            <w:tcW w:w="1885" w:type="dxa"/>
            <w:shd w:val="clear" w:color="auto" w:fill="F2F2F2" w:themeFill="background1" w:themeFillShade="F2"/>
          </w:tcPr>
          <w:p w14:paraId="5A3B4644" w14:textId="77777777" w:rsidR="00014ADB" w:rsidRDefault="00014ADB" w:rsidP="00014ADB">
            <w:pPr>
              <w:pStyle w:val="Tablebodybold"/>
              <w:rPr>
                <w:lang w:val="en-CA"/>
              </w:rPr>
            </w:pPr>
          </w:p>
        </w:tc>
        <w:tc>
          <w:tcPr>
            <w:tcW w:w="1875" w:type="dxa"/>
            <w:shd w:val="clear" w:color="auto" w:fill="F2F2F2" w:themeFill="background1" w:themeFillShade="F2"/>
          </w:tcPr>
          <w:p w14:paraId="0A225514" w14:textId="77777777" w:rsidR="00014ADB" w:rsidRPr="00CB3AD1" w:rsidRDefault="00014ADB" w:rsidP="00014ADB">
            <w:pPr>
              <w:pStyle w:val="Tablebodybold"/>
              <w:spacing w:before="120" w:after="120"/>
              <w:rPr>
                <w:i/>
                <w:lang w:val="en-CA"/>
              </w:rPr>
            </w:pPr>
            <w:r w:rsidRPr="00CB3AD1">
              <w:rPr>
                <w:i/>
                <w:lang w:val="en-CA"/>
              </w:rPr>
              <w:t>Italian:</w:t>
            </w:r>
          </w:p>
          <w:p w14:paraId="6226A559" w14:textId="00E0E548" w:rsidR="00014ADB" w:rsidRDefault="00014ADB" w:rsidP="00014ADB">
            <w:pPr>
              <w:pStyle w:val="Tablebodybold"/>
              <w:rPr>
                <w:lang w:val="en-CA"/>
              </w:rPr>
            </w:pPr>
            <w:r>
              <w:rPr>
                <w:lang w:val="en-CA"/>
              </w:rPr>
              <w:t>Analyze personal, shared, and others’ experiences, perspectives, and worldviews through a cultural lens</w:t>
            </w:r>
          </w:p>
          <w:p w14:paraId="7FA2334D" w14:textId="77777777" w:rsidR="00014ADB" w:rsidRPr="00B61A6C" w:rsidRDefault="00014ADB" w:rsidP="00014ADB">
            <w:pPr>
              <w:pStyle w:val="Bullet"/>
            </w:pPr>
            <w:r w:rsidRPr="008659A1">
              <w:t>e.g., values, practices, traditions, perceptions</w:t>
            </w:r>
          </w:p>
          <w:p w14:paraId="0C97075D" w14:textId="77777777" w:rsidR="00014ADB" w:rsidRPr="008A2A37" w:rsidRDefault="00014ADB" w:rsidP="00014ADB">
            <w:pPr>
              <w:pStyle w:val="Tablebodybold"/>
              <w:rPr>
                <w:i/>
                <w:lang w:val="en-CA"/>
              </w:rPr>
            </w:pPr>
            <w:r w:rsidRPr="008A2A37">
              <w:rPr>
                <w:i/>
                <w:lang w:val="en-CA"/>
              </w:rPr>
              <w:t>Spanish 9 Entry:</w:t>
            </w:r>
          </w:p>
          <w:p w14:paraId="19022DF7" w14:textId="77777777" w:rsidR="00014ADB" w:rsidRDefault="00014ADB" w:rsidP="00014ADB">
            <w:pPr>
              <w:pStyle w:val="Tablebodybold"/>
              <w:rPr>
                <w:lang w:val="en-CA"/>
              </w:rPr>
            </w:pPr>
            <w:r>
              <w:rPr>
                <w:lang w:val="en-CA"/>
              </w:rPr>
              <w:t>Consider personal, shared, and others’ experiences, perspectives, and worldviews through a cultural lens</w:t>
            </w:r>
          </w:p>
          <w:p w14:paraId="2F0380A3" w14:textId="03AA1288" w:rsidR="00014ADB" w:rsidRDefault="00014ADB" w:rsidP="00014ADB">
            <w:pPr>
              <w:pStyle w:val="Bullet"/>
              <w:rPr>
                <w:lang w:val="en-CA"/>
              </w:rPr>
            </w:pPr>
            <w:r>
              <w:rPr>
                <w:lang w:val="en-CA"/>
              </w:rPr>
              <w:t>e.g., values, practices, traditions, perceptions</w:t>
            </w:r>
          </w:p>
        </w:tc>
        <w:tc>
          <w:tcPr>
            <w:tcW w:w="1480" w:type="dxa"/>
            <w:shd w:val="clear" w:color="auto" w:fill="F2F2F2" w:themeFill="background1" w:themeFillShade="F2"/>
          </w:tcPr>
          <w:p w14:paraId="346AB034" w14:textId="77777777" w:rsidR="00014ADB" w:rsidRPr="00014ADB" w:rsidRDefault="00014ADB" w:rsidP="00014ADB"/>
        </w:tc>
        <w:tc>
          <w:tcPr>
            <w:tcW w:w="1570" w:type="dxa"/>
            <w:shd w:val="clear" w:color="auto" w:fill="F2F2F2" w:themeFill="background1" w:themeFillShade="F2"/>
          </w:tcPr>
          <w:p w14:paraId="7BF67D33" w14:textId="77777777" w:rsidR="00014ADB" w:rsidRDefault="00014ADB" w:rsidP="00014ADB">
            <w:pPr>
              <w:pStyle w:val="Tablebodybold"/>
            </w:pPr>
          </w:p>
        </w:tc>
        <w:tc>
          <w:tcPr>
            <w:tcW w:w="2388" w:type="dxa"/>
            <w:shd w:val="clear" w:color="auto" w:fill="F2F2F2" w:themeFill="background1" w:themeFillShade="F2"/>
          </w:tcPr>
          <w:p w14:paraId="3A2E0437" w14:textId="77777777" w:rsidR="00014ADB" w:rsidRPr="008013E8" w:rsidRDefault="00014ADB" w:rsidP="00014ADB">
            <w:pPr>
              <w:pStyle w:val="Tablebodybold"/>
            </w:pPr>
          </w:p>
        </w:tc>
        <w:tc>
          <w:tcPr>
            <w:tcW w:w="2380" w:type="dxa"/>
            <w:shd w:val="clear" w:color="auto" w:fill="F2F2F2" w:themeFill="background1" w:themeFillShade="F2"/>
          </w:tcPr>
          <w:p w14:paraId="2AADAEF7" w14:textId="77777777" w:rsidR="00014ADB" w:rsidRDefault="00014ADB" w:rsidP="00014ADB">
            <w:pPr>
              <w:pStyle w:val="Tablebodybold"/>
            </w:pPr>
            <w:r>
              <w:t>Recognize implicit and explicit ethical judgments in a variety of sources</w:t>
            </w:r>
          </w:p>
          <w:p w14:paraId="641E0EFF" w14:textId="77777777" w:rsidR="00014ADB" w:rsidRPr="00526170" w:rsidRDefault="00014ADB" w:rsidP="00014ADB">
            <w:pPr>
              <w:pStyle w:val="Bullet"/>
              <w:rPr>
                <w:b/>
              </w:rPr>
            </w:pPr>
            <w:r w:rsidRPr="00526170">
              <w:t>Was the Indian Act an unfortunate but well-meaning mistake or was it a shameful abuse of</w:t>
            </w:r>
            <w:r>
              <w:t xml:space="preserve"> </w:t>
            </w:r>
            <w:r w:rsidRPr="00526170">
              <w:t>power? What lessons can we learn from the effects of this legislation?</w:t>
            </w:r>
          </w:p>
          <w:p w14:paraId="70324199" w14:textId="77777777" w:rsidR="00014ADB" w:rsidRDefault="00014ADB" w:rsidP="00014ADB">
            <w:pPr>
              <w:pStyle w:val="Tablebodybold"/>
            </w:pPr>
            <w:r>
              <w:t>Make reasoned ethical judgments about actions in the past and present, and determine appropriate ways to remember and respond</w:t>
            </w:r>
          </w:p>
          <w:p w14:paraId="530B792D" w14:textId="77777777" w:rsidR="00014ADB" w:rsidRPr="00526170" w:rsidRDefault="00014ADB" w:rsidP="00014ADB">
            <w:pPr>
              <w:pStyle w:val="Bullet"/>
              <w:rPr>
                <w:b/>
              </w:rPr>
            </w:pPr>
            <w:r w:rsidRPr="00526170">
              <w:t>Were American and Canadian/British policies toward First Peoples an example of pre-twentieth</w:t>
            </w:r>
            <w:r>
              <w:t xml:space="preserve"> </w:t>
            </w:r>
            <w:r w:rsidRPr="00526170">
              <w:t>century genocide?</w:t>
            </w:r>
          </w:p>
          <w:p w14:paraId="12648108" w14:textId="7A349114" w:rsidR="00014ADB" w:rsidRDefault="00014ADB" w:rsidP="00F3384D">
            <w:pPr>
              <w:pStyle w:val="Bullet"/>
              <w:spacing w:after="120"/>
            </w:pPr>
            <w:r w:rsidRPr="00526170">
              <w:t>What key factors influenced decisions about who should have the vote (e.g., why were women</w:t>
            </w:r>
            <w:r>
              <w:t xml:space="preserve"> </w:t>
            </w:r>
            <w:r w:rsidRPr="00526170">
              <w:t>given the vote after World War I and First Peoples were not?)?</w:t>
            </w:r>
          </w:p>
        </w:tc>
      </w:tr>
    </w:tbl>
    <w:p w14:paraId="6737A04D" w14:textId="77777777" w:rsidR="002236C7" w:rsidRDefault="002236C7" w:rsidP="002236C7">
      <w:pPr>
        <w:pStyle w:val="Body"/>
      </w:pPr>
    </w:p>
    <w:p w14:paraId="31320997" w14:textId="1E1F0748" w:rsidR="002236C7" w:rsidRDefault="002236C7">
      <w:r>
        <w:br w:type="page"/>
      </w:r>
    </w:p>
    <w:tbl>
      <w:tblPr>
        <w:tblStyle w:val="TableGrid"/>
        <w:tblW w:w="0" w:type="auto"/>
        <w:tblInd w:w="1" w:type="dxa"/>
        <w:tblLook w:val="04A0" w:firstRow="1" w:lastRow="0" w:firstColumn="1" w:lastColumn="0" w:noHBand="0" w:noVBand="1"/>
      </w:tblPr>
      <w:tblGrid>
        <w:gridCol w:w="504"/>
        <w:gridCol w:w="1008"/>
        <w:gridCol w:w="2339"/>
        <w:gridCol w:w="1781"/>
        <w:gridCol w:w="1696"/>
        <w:gridCol w:w="1072"/>
        <w:gridCol w:w="2040"/>
        <w:gridCol w:w="2594"/>
        <w:gridCol w:w="1614"/>
        <w:gridCol w:w="2189"/>
        <w:gridCol w:w="1971"/>
        <w:gridCol w:w="1975"/>
        <w:gridCol w:w="1766"/>
      </w:tblGrid>
      <w:tr w:rsidR="00F3384D" w14:paraId="0231A3DF" w14:textId="77777777" w:rsidTr="00F3384D">
        <w:tc>
          <w:tcPr>
            <w:tcW w:w="1512" w:type="dxa"/>
            <w:gridSpan w:val="2"/>
            <w:vAlign w:val="bottom"/>
          </w:tcPr>
          <w:p w14:paraId="3624E7A3" w14:textId="77777777" w:rsidR="002236C7" w:rsidRPr="004D4C72" w:rsidRDefault="002236C7" w:rsidP="008A4B8C">
            <w:pPr>
              <w:jc w:val="center"/>
              <w:rPr>
                <w:rFonts w:ascii="Century Gothic" w:hAnsi="Century Gothic"/>
                <w:b/>
                <w:sz w:val="20"/>
                <w:szCs w:val="20"/>
              </w:rPr>
            </w:pPr>
          </w:p>
        </w:tc>
        <w:tc>
          <w:tcPr>
            <w:tcW w:w="2339" w:type="dxa"/>
            <w:shd w:val="clear" w:color="auto" w:fill="FEECBC"/>
            <w:vAlign w:val="center"/>
          </w:tcPr>
          <w:p w14:paraId="40D72E15"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781" w:type="dxa"/>
            <w:shd w:val="clear" w:color="auto" w:fill="FEECBC"/>
            <w:vAlign w:val="center"/>
          </w:tcPr>
          <w:p w14:paraId="1A0FBB9D"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Arts</w:t>
            </w:r>
          </w:p>
        </w:tc>
        <w:tc>
          <w:tcPr>
            <w:tcW w:w="1696" w:type="dxa"/>
            <w:shd w:val="clear" w:color="auto" w:fill="FEECBC"/>
            <w:vAlign w:val="center"/>
          </w:tcPr>
          <w:p w14:paraId="689D43A9"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Career Ed.</w:t>
            </w:r>
          </w:p>
        </w:tc>
        <w:tc>
          <w:tcPr>
            <w:tcW w:w="1072" w:type="dxa"/>
            <w:shd w:val="clear" w:color="auto" w:fill="FEECBC"/>
            <w:vAlign w:val="center"/>
          </w:tcPr>
          <w:p w14:paraId="74398B2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ELA</w:t>
            </w:r>
          </w:p>
        </w:tc>
        <w:tc>
          <w:tcPr>
            <w:tcW w:w="2040" w:type="dxa"/>
            <w:shd w:val="clear" w:color="auto" w:fill="FEECBC"/>
            <w:vAlign w:val="center"/>
          </w:tcPr>
          <w:p w14:paraId="5E9B3792"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2594" w:type="dxa"/>
            <w:shd w:val="clear" w:color="auto" w:fill="FEECBC"/>
            <w:vAlign w:val="center"/>
          </w:tcPr>
          <w:p w14:paraId="03AFBA14" w14:textId="4BC97295"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614" w:type="dxa"/>
            <w:shd w:val="clear" w:color="auto" w:fill="FEECBC"/>
            <w:vAlign w:val="center"/>
          </w:tcPr>
          <w:p w14:paraId="0782432C"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Languages</w:t>
            </w:r>
          </w:p>
        </w:tc>
        <w:tc>
          <w:tcPr>
            <w:tcW w:w="2189" w:type="dxa"/>
            <w:shd w:val="clear" w:color="auto" w:fill="FEECBC"/>
            <w:vAlign w:val="center"/>
          </w:tcPr>
          <w:p w14:paraId="2B57A16A"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Mathematics</w:t>
            </w:r>
          </w:p>
        </w:tc>
        <w:tc>
          <w:tcPr>
            <w:tcW w:w="1971" w:type="dxa"/>
            <w:shd w:val="clear" w:color="auto" w:fill="FEECBC"/>
            <w:vAlign w:val="center"/>
          </w:tcPr>
          <w:p w14:paraId="5BD81C59"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975" w:type="dxa"/>
            <w:shd w:val="clear" w:color="auto" w:fill="FEECBC"/>
            <w:vAlign w:val="center"/>
          </w:tcPr>
          <w:p w14:paraId="0CC46F0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Science</w:t>
            </w:r>
          </w:p>
        </w:tc>
        <w:tc>
          <w:tcPr>
            <w:tcW w:w="1766" w:type="dxa"/>
            <w:shd w:val="clear" w:color="auto" w:fill="FEECBC"/>
            <w:vAlign w:val="center"/>
          </w:tcPr>
          <w:p w14:paraId="66E5351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F3384D" w14:paraId="1DACD386" w14:textId="77777777" w:rsidTr="00F3384D">
        <w:trPr>
          <w:trHeight w:val="5426"/>
        </w:trPr>
        <w:tc>
          <w:tcPr>
            <w:tcW w:w="504" w:type="dxa"/>
            <w:shd w:val="clear" w:color="auto" w:fill="4A5F7C"/>
            <w:textDirection w:val="btLr"/>
          </w:tcPr>
          <w:p w14:paraId="45685B8F" w14:textId="4E80120E" w:rsidR="00014ADB" w:rsidRPr="00D46048" w:rsidRDefault="00014ADB" w:rsidP="008A4B8C">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Content</w:t>
            </w:r>
          </w:p>
        </w:tc>
        <w:tc>
          <w:tcPr>
            <w:tcW w:w="1008" w:type="dxa"/>
            <w:tcBorders>
              <w:bottom w:val="single" w:sz="4" w:space="0" w:color="auto"/>
            </w:tcBorders>
          </w:tcPr>
          <w:p w14:paraId="4F8D439C" w14:textId="77777777" w:rsidR="00014ADB" w:rsidRPr="00D46048" w:rsidRDefault="00014ADB" w:rsidP="008A4B8C">
            <w:pPr>
              <w:pStyle w:val="Body"/>
              <w:rPr>
                <w:rFonts w:ascii="Century Gothic" w:hAnsi="Century Gothic"/>
                <w:b/>
              </w:rPr>
            </w:pPr>
            <w:r w:rsidRPr="00D46048">
              <w:rPr>
                <w:rFonts w:ascii="Century Gothic" w:hAnsi="Century Gothic"/>
                <w:b/>
              </w:rPr>
              <w:t>Explicit</w:t>
            </w:r>
          </w:p>
        </w:tc>
        <w:tc>
          <w:tcPr>
            <w:tcW w:w="2339" w:type="dxa"/>
            <w:tcBorders>
              <w:bottom w:val="single" w:sz="4" w:space="0" w:color="auto"/>
            </w:tcBorders>
          </w:tcPr>
          <w:p w14:paraId="2808C458" w14:textId="77777777" w:rsidR="00014ADB" w:rsidRDefault="00014ADB" w:rsidP="00014ADB">
            <w:pPr>
              <w:spacing w:before="80" w:after="40" w:line="230" w:lineRule="exact"/>
              <w:rPr>
                <w:rFonts w:ascii="Helvetica-Bold" w:hAnsi="Helvetica-Bold" w:cs="Helvetica-Bold"/>
                <w:b/>
                <w:bCs/>
                <w:color w:val="649999"/>
                <w:sz w:val="20"/>
                <w:szCs w:val="20"/>
                <w:lang w:val="en-CA"/>
              </w:rPr>
            </w:pPr>
            <w:r>
              <w:rPr>
                <w:rFonts w:ascii="Helvetica-Bold" w:hAnsi="Helvetica-Bold" w:cs="Helvetica-Bold"/>
                <w:b/>
                <w:bCs/>
                <w:color w:val="649999"/>
                <w:sz w:val="20"/>
                <w:szCs w:val="20"/>
                <w:lang w:val="en-CA"/>
              </w:rPr>
              <w:t xml:space="preserve">ENTREPRENEURSHIP AND </w:t>
            </w:r>
            <w:r w:rsidRPr="00014ADB">
              <w:rPr>
                <w:rFonts w:ascii="Helvetica" w:hAnsi="Helvetica" w:cs="Calibri"/>
                <w:b/>
                <w:caps/>
                <w:color w:val="778D94"/>
                <w:sz w:val="20"/>
                <w:szCs w:val="20"/>
                <w:lang w:val="en-CA" w:bidi="ar-SA"/>
              </w:rPr>
              <w:t>MARKETING</w:t>
            </w:r>
            <w:r>
              <w:rPr>
                <w:rFonts w:ascii="Helvetica-Bold" w:hAnsi="Helvetica-Bold" w:cs="Helvetica-Bold"/>
                <w:b/>
                <w:bCs/>
                <w:color w:val="649999"/>
                <w:sz w:val="20"/>
                <w:szCs w:val="20"/>
                <w:lang w:val="en-CA"/>
              </w:rPr>
              <w:t>:</w:t>
            </w:r>
          </w:p>
          <w:p w14:paraId="73612EF8" w14:textId="77777777" w:rsidR="00014ADB" w:rsidRDefault="00014ADB" w:rsidP="00014ADB">
            <w:pPr>
              <w:pStyle w:val="Tablebodybold"/>
              <w:rPr>
                <w:lang w:val="en-CA"/>
              </w:rPr>
            </w:pPr>
            <w:r>
              <w:rPr>
                <w:lang w:val="en-CA"/>
              </w:rPr>
              <w:t>the role of social entrepreneurship in First Nations communities</w:t>
            </w:r>
          </w:p>
          <w:p w14:paraId="15CB010E" w14:textId="77777777" w:rsidR="00014ADB" w:rsidRDefault="00014ADB" w:rsidP="00014ADB">
            <w:pPr>
              <w:spacing w:before="80" w:after="40" w:line="230" w:lineRule="exact"/>
              <w:rPr>
                <w:rFonts w:ascii="Helvetica-Bold" w:hAnsi="Helvetica-Bold" w:cs="Helvetica-Bold"/>
                <w:b/>
                <w:bCs/>
                <w:color w:val="649999"/>
                <w:sz w:val="20"/>
                <w:szCs w:val="20"/>
                <w:lang w:val="en-CA"/>
              </w:rPr>
            </w:pPr>
            <w:r>
              <w:rPr>
                <w:rFonts w:ascii="Helvetica-Bold" w:hAnsi="Helvetica-Bold" w:cs="Helvetica-Bold"/>
                <w:b/>
                <w:bCs/>
                <w:color w:val="649999"/>
                <w:sz w:val="20"/>
                <w:szCs w:val="20"/>
                <w:lang w:val="en-CA"/>
              </w:rPr>
              <w:t xml:space="preserve">FOOD </w:t>
            </w:r>
            <w:r w:rsidRPr="00014ADB">
              <w:rPr>
                <w:rFonts w:ascii="Helvetica" w:hAnsi="Helvetica" w:cs="Calibri"/>
                <w:b/>
                <w:caps/>
                <w:color w:val="778D94"/>
                <w:sz w:val="20"/>
                <w:szCs w:val="20"/>
                <w:lang w:val="en-CA" w:bidi="ar-SA"/>
              </w:rPr>
              <w:t>STUDIES</w:t>
            </w:r>
            <w:r>
              <w:rPr>
                <w:rFonts w:ascii="Helvetica-Bold" w:hAnsi="Helvetica-Bold" w:cs="Helvetica-Bold"/>
                <w:b/>
                <w:bCs/>
                <w:color w:val="649999"/>
                <w:sz w:val="20"/>
                <w:szCs w:val="20"/>
                <w:lang w:val="en-CA"/>
              </w:rPr>
              <w:t>:</w:t>
            </w:r>
          </w:p>
          <w:p w14:paraId="5B925A81" w14:textId="5E6296BE" w:rsidR="00014ADB" w:rsidRDefault="00014ADB" w:rsidP="00014ADB">
            <w:pPr>
              <w:pStyle w:val="Tablebodybold"/>
              <w:rPr>
                <w:rFonts w:ascii="Helvetica-Bold" w:hAnsi="Helvetica-Bold" w:cs="Helvetica-Bold"/>
                <w:b w:val="0"/>
                <w:bCs/>
                <w:color w:val="000000"/>
                <w:sz w:val="20"/>
                <w:szCs w:val="20"/>
                <w:lang w:val="en-CA"/>
              </w:rPr>
            </w:pPr>
            <w:r>
              <w:rPr>
                <w:lang w:val="en-CA"/>
              </w:rPr>
              <w:t xml:space="preserve">First Peoples traditional food use, including ingredients, harvesting/gathering, </w:t>
            </w:r>
            <w:r>
              <w:rPr>
                <w:rFonts w:ascii="Helvetica-Bold" w:hAnsi="Helvetica-Bold" w:cs="Helvetica-Bold"/>
                <w:bCs/>
                <w:color w:val="000000"/>
                <w:sz w:val="20"/>
                <w:szCs w:val="20"/>
                <w:lang w:val="en-CA"/>
              </w:rPr>
              <w:t>storage, preparation, and preservation</w:t>
            </w:r>
          </w:p>
          <w:p w14:paraId="5454F314" w14:textId="77777777" w:rsidR="00014ADB" w:rsidRDefault="00014ADB" w:rsidP="00014ADB">
            <w:pPr>
              <w:spacing w:before="80" w:after="40" w:line="230" w:lineRule="exact"/>
              <w:rPr>
                <w:rFonts w:ascii="Helvetica-Bold" w:hAnsi="Helvetica-Bold" w:cs="Helvetica-Bold"/>
                <w:b/>
                <w:bCs/>
                <w:color w:val="649999"/>
                <w:sz w:val="20"/>
                <w:szCs w:val="20"/>
                <w:lang w:val="en-CA"/>
              </w:rPr>
            </w:pPr>
            <w:r>
              <w:rPr>
                <w:rFonts w:ascii="Helvetica-Bold" w:hAnsi="Helvetica-Bold" w:cs="Helvetica-Bold"/>
                <w:b/>
                <w:bCs/>
                <w:color w:val="649999"/>
                <w:sz w:val="20"/>
                <w:szCs w:val="20"/>
                <w:lang w:val="en-CA"/>
              </w:rPr>
              <w:t xml:space="preserve">MEDIA </w:t>
            </w:r>
            <w:r w:rsidRPr="00014ADB">
              <w:rPr>
                <w:rFonts w:ascii="Helvetica" w:hAnsi="Helvetica" w:cs="Calibri"/>
                <w:b/>
                <w:caps/>
                <w:color w:val="778D94"/>
                <w:sz w:val="20"/>
                <w:szCs w:val="20"/>
                <w:lang w:val="en-CA" w:bidi="ar-SA"/>
              </w:rPr>
              <w:t>ARTS</w:t>
            </w:r>
            <w:r>
              <w:rPr>
                <w:rFonts w:ascii="Helvetica-Bold" w:hAnsi="Helvetica-Bold" w:cs="Helvetica-Bold"/>
                <w:b/>
                <w:bCs/>
                <w:color w:val="649999"/>
                <w:sz w:val="20"/>
                <w:szCs w:val="20"/>
                <w:lang w:val="en-CA"/>
              </w:rPr>
              <w:t>:</w:t>
            </w:r>
          </w:p>
          <w:p w14:paraId="2271F773" w14:textId="1DE8BDDC" w:rsidR="00014ADB" w:rsidRDefault="00014ADB" w:rsidP="00014ADB">
            <w:pPr>
              <w:pStyle w:val="Tablebodybold"/>
              <w:rPr>
                <w:lang w:val="en-CA"/>
              </w:rPr>
            </w:pPr>
            <w:r>
              <w:rPr>
                <w:lang w:val="en-CA"/>
              </w:rPr>
              <w:t>specific features and purposes of media artworks from the present and the past to explore viewpoints, including those of First Peoples specific purposes of media use in the social advocacy of First Peoples in Canada</w:t>
            </w:r>
          </w:p>
          <w:p w14:paraId="5F2C46F0" w14:textId="77777777" w:rsidR="00014ADB" w:rsidRDefault="00014ADB" w:rsidP="00014ADB">
            <w:pPr>
              <w:spacing w:before="80" w:after="40" w:line="230" w:lineRule="exact"/>
              <w:rPr>
                <w:rFonts w:ascii="Helvetica-Bold" w:hAnsi="Helvetica-Bold" w:cs="Helvetica-Bold"/>
                <w:b/>
                <w:bCs/>
                <w:color w:val="649999"/>
                <w:sz w:val="20"/>
                <w:szCs w:val="20"/>
                <w:lang w:val="en-CA"/>
              </w:rPr>
            </w:pPr>
            <w:r w:rsidRPr="00014ADB">
              <w:rPr>
                <w:rFonts w:ascii="Helvetica" w:hAnsi="Helvetica" w:cs="Calibri"/>
                <w:b/>
                <w:caps/>
                <w:color w:val="778D94"/>
                <w:sz w:val="20"/>
                <w:szCs w:val="20"/>
                <w:lang w:val="en-CA" w:bidi="ar-SA"/>
              </w:rPr>
              <w:t>TEXTILES</w:t>
            </w:r>
            <w:r>
              <w:rPr>
                <w:rFonts w:ascii="Helvetica-Bold" w:hAnsi="Helvetica-Bold" w:cs="Helvetica-Bold"/>
                <w:b/>
                <w:bCs/>
                <w:color w:val="649999"/>
                <w:sz w:val="20"/>
                <w:szCs w:val="20"/>
                <w:lang w:val="en-CA"/>
              </w:rPr>
              <w:t>:</w:t>
            </w:r>
          </w:p>
          <w:p w14:paraId="40AA4E2A" w14:textId="77777777" w:rsidR="00014ADB" w:rsidRDefault="00014ADB" w:rsidP="00014ADB">
            <w:pPr>
              <w:pStyle w:val="Tablebodybold"/>
              <w:rPr>
                <w:lang w:val="en-CA"/>
              </w:rPr>
            </w:pPr>
            <w:r>
              <w:rPr>
                <w:lang w:val="en-CA"/>
              </w:rPr>
              <w:t>role of textiles in First Peoples cultures</w:t>
            </w:r>
          </w:p>
          <w:p w14:paraId="78D0C248" w14:textId="77777777" w:rsidR="00014ADB" w:rsidRDefault="00014ADB" w:rsidP="00014ADB">
            <w:pPr>
              <w:spacing w:before="80" w:after="40" w:line="230" w:lineRule="exact"/>
              <w:rPr>
                <w:rFonts w:ascii="Helvetica-Bold" w:hAnsi="Helvetica-Bold" w:cs="Helvetica-Bold"/>
                <w:b/>
                <w:bCs/>
                <w:color w:val="649999"/>
                <w:sz w:val="20"/>
                <w:szCs w:val="20"/>
                <w:lang w:val="en-CA"/>
              </w:rPr>
            </w:pPr>
            <w:r w:rsidRPr="00014ADB">
              <w:rPr>
                <w:rFonts w:ascii="Helvetica" w:hAnsi="Helvetica" w:cs="Calibri"/>
                <w:b/>
                <w:caps/>
                <w:color w:val="778D94"/>
                <w:sz w:val="20"/>
                <w:szCs w:val="20"/>
                <w:lang w:val="en-CA" w:bidi="ar-SA"/>
              </w:rPr>
              <w:t>WOODWORK</w:t>
            </w:r>
            <w:r>
              <w:rPr>
                <w:rFonts w:ascii="Helvetica-Bold" w:hAnsi="Helvetica-Bold" w:cs="Helvetica-Bold"/>
                <w:b/>
                <w:bCs/>
                <w:color w:val="649999"/>
                <w:sz w:val="20"/>
                <w:szCs w:val="20"/>
                <w:lang w:val="en-CA"/>
              </w:rPr>
              <w:t>:</w:t>
            </w:r>
          </w:p>
          <w:p w14:paraId="79678D29" w14:textId="10843F44" w:rsidR="00014ADB" w:rsidRDefault="00014ADB" w:rsidP="00014ADB">
            <w:pPr>
              <w:pStyle w:val="Tablebodybold"/>
            </w:pPr>
            <w:r>
              <w:rPr>
                <w:lang w:val="en-CA"/>
              </w:rPr>
              <w:t>the relationsh</w:t>
            </w:r>
            <w:r w:rsidR="008A2A37">
              <w:rPr>
                <w:lang w:val="en-CA"/>
              </w:rPr>
              <w:t>ip between First Peoples culturally modified trees and the sustainable use of wood</w:t>
            </w:r>
          </w:p>
        </w:tc>
        <w:tc>
          <w:tcPr>
            <w:tcW w:w="1781" w:type="dxa"/>
            <w:tcBorders>
              <w:bottom w:val="single" w:sz="4" w:space="0" w:color="auto"/>
            </w:tcBorders>
          </w:tcPr>
          <w:p w14:paraId="7FB9FD66" w14:textId="77777777" w:rsidR="00014ADB" w:rsidRPr="00F23713" w:rsidRDefault="00014ADB" w:rsidP="00014ADB">
            <w:pPr>
              <w:pStyle w:val="Tablebodybold"/>
            </w:pPr>
            <w:r w:rsidRPr="00F23713">
              <w:t>traditional and contemporary Aboriginal arts and arts-making processes</w:t>
            </w:r>
          </w:p>
          <w:p w14:paraId="149F67C4" w14:textId="1D3B32C9" w:rsidR="00014ADB" w:rsidRDefault="00014ADB" w:rsidP="00014ADB">
            <w:pPr>
              <w:pStyle w:val="Bullet"/>
            </w:pPr>
            <w:r w:rsidRPr="00F23713">
              <w:rPr>
                <w:lang w:val="en-CA"/>
              </w:rPr>
              <w:t>dances, songs, stories, and objects created by Aboriginal peoples for use in daily life or to serve a purpose inspired by ceremonies or rituals as part of cultural tradition</w:t>
            </w:r>
          </w:p>
        </w:tc>
        <w:tc>
          <w:tcPr>
            <w:tcW w:w="1696" w:type="dxa"/>
            <w:tcBorders>
              <w:bottom w:val="single" w:sz="4" w:space="0" w:color="auto"/>
            </w:tcBorders>
          </w:tcPr>
          <w:p w14:paraId="425C8612" w14:textId="77777777" w:rsidR="00014ADB" w:rsidRDefault="00014ADB" w:rsidP="008A4B8C">
            <w:pPr>
              <w:pStyle w:val="Body"/>
            </w:pPr>
          </w:p>
        </w:tc>
        <w:tc>
          <w:tcPr>
            <w:tcW w:w="1072" w:type="dxa"/>
            <w:tcBorders>
              <w:bottom w:val="single" w:sz="4" w:space="0" w:color="auto"/>
            </w:tcBorders>
          </w:tcPr>
          <w:p w14:paraId="13F8B6C9" w14:textId="2EDBC329" w:rsidR="00014ADB" w:rsidRDefault="00014ADB" w:rsidP="000C0BE6">
            <w:pPr>
              <w:pStyle w:val="Bullet"/>
              <w:numPr>
                <w:ilvl w:val="0"/>
                <w:numId w:val="0"/>
              </w:numPr>
              <w:ind w:left="260"/>
            </w:pPr>
          </w:p>
        </w:tc>
        <w:tc>
          <w:tcPr>
            <w:tcW w:w="2040" w:type="dxa"/>
            <w:tcBorders>
              <w:bottom w:val="single" w:sz="4" w:space="0" w:color="auto"/>
            </w:tcBorders>
          </w:tcPr>
          <w:p w14:paraId="478904F3" w14:textId="5B0AB2FA" w:rsidR="00014ADB" w:rsidRPr="00DE31A6" w:rsidRDefault="00014ADB" w:rsidP="00DE31A6"/>
        </w:tc>
        <w:tc>
          <w:tcPr>
            <w:tcW w:w="2594" w:type="dxa"/>
            <w:tcBorders>
              <w:bottom w:val="single" w:sz="4" w:space="0" w:color="auto"/>
            </w:tcBorders>
          </w:tcPr>
          <w:p w14:paraId="1CBF0FBE" w14:textId="0317FEE6" w:rsidR="00014ADB" w:rsidRPr="00014ADB" w:rsidRDefault="00014ADB" w:rsidP="00014ADB"/>
        </w:tc>
        <w:tc>
          <w:tcPr>
            <w:tcW w:w="1614" w:type="dxa"/>
            <w:tcBorders>
              <w:bottom w:val="single" w:sz="4" w:space="0" w:color="auto"/>
            </w:tcBorders>
          </w:tcPr>
          <w:p w14:paraId="1FA1CC18" w14:textId="77777777" w:rsidR="00014ADB" w:rsidRPr="008A2A37" w:rsidRDefault="00014ADB" w:rsidP="00014ADB">
            <w:pPr>
              <w:pStyle w:val="Tablebodybold"/>
              <w:rPr>
                <w:i/>
                <w:lang w:val="en-CA"/>
              </w:rPr>
            </w:pPr>
            <w:proofErr w:type="spellStart"/>
            <w:r w:rsidRPr="008A2A37">
              <w:rPr>
                <w:i/>
                <w:lang w:val="en-CA"/>
              </w:rPr>
              <w:t>ASL</w:t>
            </w:r>
            <w:proofErr w:type="spellEnd"/>
            <w:r w:rsidRPr="008A2A37">
              <w:rPr>
                <w:i/>
                <w:lang w:val="en-CA"/>
              </w:rPr>
              <w:t>, German, Italian, Japanese, Korean, Mandarin, Punjabi, Spanish, Spanish 9 Entry:</w:t>
            </w:r>
          </w:p>
          <w:p w14:paraId="1D1F7F93" w14:textId="77777777" w:rsidR="00014ADB" w:rsidRDefault="00014ADB" w:rsidP="00014ADB">
            <w:pPr>
              <w:pStyle w:val="Tablebodybold"/>
            </w:pPr>
            <w:r w:rsidRPr="00552D58">
              <w:rPr>
                <w:lang w:val="en-CA"/>
              </w:rPr>
              <w:t>First Peoples perspectives connecting language and culture, including histories, identity, and place</w:t>
            </w:r>
          </w:p>
          <w:p w14:paraId="5C6DEF7C" w14:textId="77777777" w:rsidR="00014ADB" w:rsidRPr="00552D58" w:rsidRDefault="00014ADB" w:rsidP="00014ADB">
            <w:pPr>
              <w:pStyle w:val="Bullet"/>
              <w:rPr>
                <w:lang w:val="en-CA"/>
              </w:rPr>
            </w:pPr>
            <w:r w:rsidRPr="00552D58">
              <w:rPr>
                <w:lang w:val="en-CA"/>
              </w:rPr>
              <w:t xml:space="preserve">e.g., conversations with an Elder about local celebrations, traditions, </w:t>
            </w:r>
            <w:r>
              <w:rPr>
                <w:lang w:val="en-CA"/>
              </w:rPr>
              <w:br/>
            </w:r>
            <w:r w:rsidRPr="00552D58">
              <w:rPr>
                <w:lang w:val="en-CA"/>
              </w:rPr>
              <w:t xml:space="preserve">and protocols </w:t>
            </w:r>
          </w:p>
          <w:p w14:paraId="00895406" w14:textId="77777777" w:rsidR="00014ADB" w:rsidRPr="00552D58" w:rsidRDefault="00014ADB" w:rsidP="00014ADB">
            <w:pPr>
              <w:pStyle w:val="Bullet"/>
              <w:rPr>
                <w:lang w:val="en-CA"/>
              </w:rPr>
            </w:pPr>
            <w:r w:rsidRPr="00552D58">
              <w:rPr>
                <w:lang w:val="en-CA"/>
              </w:rPr>
              <w:t xml:space="preserve">identity is influenced by, for example, traditions, protocols, celebrations, </w:t>
            </w:r>
            <w:r>
              <w:rPr>
                <w:lang w:val="en-CA"/>
              </w:rPr>
              <w:br/>
            </w:r>
            <w:r w:rsidRPr="00552D58">
              <w:rPr>
                <w:lang w:val="en-CA"/>
              </w:rPr>
              <w:t xml:space="preserve">and festivals. </w:t>
            </w:r>
          </w:p>
          <w:p w14:paraId="68CBAD95" w14:textId="4C4AFC7B" w:rsidR="00014ADB" w:rsidRDefault="00014ADB" w:rsidP="00014ADB">
            <w:pPr>
              <w:pStyle w:val="Bullet"/>
            </w:pPr>
            <w:r w:rsidRPr="00552D58">
              <w:rPr>
                <w:lang w:val="en-CA"/>
              </w:rPr>
              <w:t>A sense of place can be influenced by, for example, territory, food, clothing, and creative works.</w:t>
            </w:r>
          </w:p>
        </w:tc>
        <w:tc>
          <w:tcPr>
            <w:tcW w:w="2189" w:type="dxa"/>
            <w:tcBorders>
              <w:bottom w:val="single" w:sz="4" w:space="0" w:color="auto"/>
            </w:tcBorders>
          </w:tcPr>
          <w:p w14:paraId="342E30D6" w14:textId="4D9FC8F5" w:rsidR="00014ADB" w:rsidRDefault="00014ADB" w:rsidP="000C0BE6">
            <w:pPr>
              <w:pStyle w:val="Tablebodybold"/>
            </w:pPr>
          </w:p>
        </w:tc>
        <w:tc>
          <w:tcPr>
            <w:tcW w:w="1971" w:type="dxa"/>
            <w:tcBorders>
              <w:bottom w:val="single" w:sz="4" w:space="0" w:color="auto"/>
            </w:tcBorders>
          </w:tcPr>
          <w:p w14:paraId="6B144626" w14:textId="77777777" w:rsidR="00014ADB" w:rsidRDefault="00014ADB" w:rsidP="008A4B8C">
            <w:pPr>
              <w:pStyle w:val="Body"/>
            </w:pPr>
          </w:p>
        </w:tc>
        <w:tc>
          <w:tcPr>
            <w:tcW w:w="1975" w:type="dxa"/>
            <w:tcBorders>
              <w:bottom w:val="single" w:sz="4" w:space="0" w:color="auto"/>
            </w:tcBorders>
          </w:tcPr>
          <w:p w14:paraId="2491B99B" w14:textId="77777777" w:rsidR="00014ADB" w:rsidRPr="00542C3F" w:rsidRDefault="00014ADB" w:rsidP="00014ADB">
            <w:pPr>
              <w:pStyle w:val="Tablebodybold"/>
            </w:pPr>
            <w:r w:rsidRPr="00542C3F">
              <w:t>First Peoples knowledge of changes in biodiversity over time</w:t>
            </w:r>
          </w:p>
          <w:p w14:paraId="058A4182" w14:textId="77777777" w:rsidR="00014ADB" w:rsidRPr="00542C3F" w:rsidRDefault="00014ADB" w:rsidP="00014ADB">
            <w:pPr>
              <w:pStyle w:val="Tablebodybold"/>
            </w:pPr>
            <w:r w:rsidRPr="00542C3F">
              <w:t>local First Peoples knowledge of climate change</w:t>
            </w:r>
          </w:p>
          <w:p w14:paraId="03D419CB" w14:textId="23FFD5AB" w:rsidR="00014ADB" w:rsidRDefault="00014ADB" w:rsidP="00014ADB">
            <w:pPr>
              <w:pStyle w:val="Bullet"/>
            </w:pPr>
            <w:r w:rsidRPr="00542C3F">
              <w:t>local First Peoples knowledge of climate change: oral history, change in traditional practice (e.g., the timing of harvest has been impacted by climate change), etc.</w:t>
            </w:r>
          </w:p>
        </w:tc>
        <w:tc>
          <w:tcPr>
            <w:tcW w:w="1766" w:type="dxa"/>
            <w:tcBorders>
              <w:bottom w:val="single" w:sz="4" w:space="0" w:color="auto"/>
            </w:tcBorders>
          </w:tcPr>
          <w:p w14:paraId="3CF064A9" w14:textId="2AB6C6E2" w:rsidR="00014ADB" w:rsidRPr="00014ADB" w:rsidRDefault="00014ADB" w:rsidP="00014ADB">
            <w:pPr>
              <w:pStyle w:val="Tablebodybold"/>
            </w:pPr>
            <w:r w:rsidRPr="00014ADB">
              <w:t>the continuing effects of imperialism and colonialism on indigenous peoples in Canada and around the world</w:t>
            </w:r>
          </w:p>
          <w:p w14:paraId="6D528115" w14:textId="77777777" w:rsidR="00014ADB" w:rsidRDefault="00014ADB" w:rsidP="00014ADB">
            <w:pPr>
              <w:pStyle w:val="Keyquestions"/>
            </w:pPr>
            <w:r>
              <w:t>Sample topics:</w:t>
            </w:r>
          </w:p>
          <w:p w14:paraId="112EECBB" w14:textId="3F7DBAF8" w:rsidR="00014ADB" w:rsidRDefault="00014ADB" w:rsidP="00014ADB">
            <w:pPr>
              <w:pStyle w:val="Bullet2"/>
            </w:pPr>
            <w:r>
              <w:t>impact of treaties on First Peoples (e.g., numbered treaties, Vancouver Island treaties)</w:t>
            </w:r>
          </w:p>
          <w:p w14:paraId="503C7D34" w14:textId="0312CD42" w:rsidR="00014ADB" w:rsidRDefault="00014ADB" w:rsidP="00014ADB">
            <w:pPr>
              <w:pStyle w:val="Bullet2"/>
            </w:pPr>
            <w:r>
              <w:t>impact of the Indian Act, including reservations and the residential school system</w:t>
            </w:r>
          </w:p>
          <w:p w14:paraId="3B9C015E" w14:textId="035917E0" w:rsidR="00014ADB" w:rsidRDefault="00014ADB" w:rsidP="00014ADB">
            <w:pPr>
              <w:pStyle w:val="Bullet2"/>
            </w:pPr>
            <w:r>
              <w:t>interactions between Europeans and First Peoples</w:t>
            </w:r>
          </w:p>
          <w:p w14:paraId="6AED45F1" w14:textId="77777777" w:rsidR="00014ADB" w:rsidRDefault="00014ADB" w:rsidP="00014ADB">
            <w:pPr>
              <w:pStyle w:val="Keyquestions"/>
            </w:pPr>
            <w:r>
              <w:t>Key questions:</w:t>
            </w:r>
          </w:p>
          <w:p w14:paraId="2BA123BD" w14:textId="0BF59704" w:rsidR="00014ADB" w:rsidRDefault="00014ADB" w:rsidP="00014ADB">
            <w:pPr>
              <w:pStyle w:val="Bullet2"/>
            </w:pPr>
            <w:r>
              <w:t>What were the motivations for imperialism and colonialism during this period?</w:t>
            </w:r>
          </w:p>
          <w:p w14:paraId="7AEE2921" w14:textId="47636C9F" w:rsidR="00014ADB" w:rsidRPr="005D16E4" w:rsidRDefault="00014ADB" w:rsidP="00014ADB">
            <w:pPr>
              <w:pStyle w:val="Bullet2"/>
              <w:spacing w:after="120"/>
            </w:pPr>
            <w:r>
              <w:t>What role does imperialism and colonialism from this period have on events in present-day Canada and around the world?</w:t>
            </w:r>
          </w:p>
        </w:tc>
      </w:tr>
    </w:tbl>
    <w:p w14:paraId="0A3B6AF7" w14:textId="77777777" w:rsidR="002236C7" w:rsidRDefault="002236C7" w:rsidP="002236C7">
      <w:pPr>
        <w:pStyle w:val="Body"/>
      </w:pPr>
    </w:p>
    <w:p w14:paraId="27670483" w14:textId="1189769F" w:rsidR="000C0BE6" w:rsidRDefault="000C0BE6">
      <w:r>
        <w:br w:type="page"/>
      </w:r>
    </w:p>
    <w:tbl>
      <w:tblPr>
        <w:tblStyle w:val="TableGrid"/>
        <w:tblW w:w="0" w:type="auto"/>
        <w:tblInd w:w="1" w:type="dxa"/>
        <w:tblLook w:val="04A0" w:firstRow="1" w:lastRow="0" w:firstColumn="1" w:lastColumn="0" w:noHBand="0" w:noVBand="1"/>
      </w:tblPr>
      <w:tblGrid>
        <w:gridCol w:w="505"/>
        <w:gridCol w:w="1003"/>
        <w:gridCol w:w="1727"/>
        <w:gridCol w:w="1544"/>
        <w:gridCol w:w="1636"/>
        <w:gridCol w:w="1077"/>
        <w:gridCol w:w="2118"/>
        <w:gridCol w:w="2346"/>
        <w:gridCol w:w="1907"/>
        <w:gridCol w:w="2747"/>
        <w:gridCol w:w="1623"/>
        <w:gridCol w:w="2064"/>
        <w:gridCol w:w="2252"/>
      </w:tblGrid>
      <w:tr w:rsidR="00F3384D" w14:paraId="2AD54BB7" w14:textId="77777777" w:rsidTr="00F3384D">
        <w:trPr>
          <w:trHeight w:val="1022"/>
        </w:trPr>
        <w:tc>
          <w:tcPr>
            <w:tcW w:w="1508" w:type="dxa"/>
            <w:gridSpan w:val="2"/>
            <w:vAlign w:val="bottom"/>
          </w:tcPr>
          <w:p w14:paraId="2FBE17D5" w14:textId="77777777" w:rsidR="000C0BE6" w:rsidRPr="004D4C72" w:rsidRDefault="000C0BE6" w:rsidP="00655D6C">
            <w:pPr>
              <w:jc w:val="center"/>
              <w:rPr>
                <w:rFonts w:ascii="Century Gothic" w:hAnsi="Century Gothic"/>
                <w:b/>
                <w:sz w:val="20"/>
                <w:szCs w:val="20"/>
              </w:rPr>
            </w:pPr>
          </w:p>
        </w:tc>
        <w:tc>
          <w:tcPr>
            <w:tcW w:w="1727" w:type="dxa"/>
            <w:shd w:val="clear" w:color="auto" w:fill="FEECBC"/>
            <w:vAlign w:val="center"/>
          </w:tcPr>
          <w:p w14:paraId="2AA50E16" w14:textId="77777777"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544" w:type="dxa"/>
            <w:shd w:val="clear" w:color="auto" w:fill="FEECBC"/>
            <w:vAlign w:val="center"/>
          </w:tcPr>
          <w:p w14:paraId="191A3551"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Arts</w:t>
            </w:r>
          </w:p>
        </w:tc>
        <w:tc>
          <w:tcPr>
            <w:tcW w:w="1636" w:type="dxa"/>
            <w:shd w:val="clear" w:color="auto" w:fill="FEECBC"/>
            <w:vAlign w:val="center"/>
          </w:tcPr>
          <w:p w14:paraId="1D7C174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Career Ed.</w:t>
            </w:r>
          </w:p>
        </w:tc>
        <w:tc>
          <w:tcPr>
            <w:tcW w:w="1077" w:type="dxa"/>
            <w:shd w:val="clear" w:color="auto" w:fill="FEECBC"/>
            <w:vAlign w:val="center"/>
          </w:tcPr>
          <w:p w14:paraId="3C96CBA0"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ELA</w:t>
            </w:r>
          </w:p>
        </w:tc>
        <w:tc>
          <w:tcPr>
            <w:tcW w:w="2118" w:type="dxa"/>
            <w:shd w:val="clear" w:color="auto" w:fill="FEECBC"/>
            <w:vAlign w:val="center"/>
          </w:tcPr>
          <w:p w14:paraId="000E8D20" w14:textId="77777777"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2346" w:type="dxa"/>
            <w:shd w:val="clear" w:color="auto" w:fill="FEECBC"/>
            <w:vAlign w:val="center"/>
          </w:tcPr>
          <w:p w14:paraId="4948A97D" w14:textId="76218C1A"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907" w:type="dxa"/>
            <w:shd w:val="clear" w:color="auto" w:fill="FEECBC"/>
            <w:vAlign w:val="center"/>
          </w:tcPr>
          <w:p w14:paraId="039B0857"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Languages</w:t>
            </w:r>
          </w:p>
        </w:tc>
        <w:tc>
          <w:tcPr>
            <w:tcW w:w="2747" w:type="dxa"/>
            <w:shd w:val="clear" w:color="auto" w:fill="FEECBC"/>
            <w:vAlign w:val="center"/>
          </w:tcPr>
          <w:p w14:paraId="6D9BB03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Mathematics</w:t>
            </w:r>
          </w:p>
        </w:tc>
        <w:tc>
          <w:tcPr>
            <w:tcW w:w="1623" w:type="dxa"/>
            <w:shd w:val="clear" w:color="auto" w:fill="FEECBC"/>
            <w:vAlign w:val="center"/>
          </w:tcPr>
          <w:p w14:paraId="08C53509" w14:textId="77777777"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2064" w:type="dxa"/>
            <w:shd w:val="clear" w:color="auto" w:fill="FEECBC"/>
            <w:vAlign w:val="center"/>
          </w:tcPr>
          <w:p w14:paraId="10904D26"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Science</w:t>
            </w:r>
          </w:p>
        </w:tc>
        <w:tc>
          <w:tcPr>
            <w:tcW w:w="2252" w:type="dxa"/>
            <w:shd w:val="clear" w:color="auto" w:fill="FEECBC"/>
            <w:vAlign w:val="center"/>
          </w:tcPr>
          <w:p w14:paraId="0AEC6B19"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F3384D" w14:paraId="56C40E1E" w14:textId="77777777" w:rsidTr="00F3384D">
        <w:trPr>
          <w:cantSplit/>
          <w:trHeight w:val="1134"/>
        </w:trPr>
        <w:tc>
          <w:tcPr>
            <w:tcW w:w="505" w:type="dxa"/>
            <w:shd w:val="clear" w:color="auto" w:fill="4A5F7C"/>
            <w:textDirection w:val="btLr"/>
            <w:vAlign w:val="center"/>
          </w:tcPr>
          <w:p w14:paraId="53C676B5" w14:textId="68FDD59D" w:rsidR="00014ADB" w:rsidRDefault="00014ADB" w:rsidP="004A54DE">
            <w:pPr>
              <w:pStyle w:val="Body"/>
              <w:spacing w:after="0"/>
              <w:ind w:left="113" w:right="113"/>
              <w:jc w:val="center"/>
            </w:pPr>
            <w:r>
              <w:rPr>
                <w:rFonts w:ascii="Century Gothic" w:hAnsi="Century Gothic"/>
                <w:b/>
                <w:color w:val="FFFFFF" w:themeColor="background1"/>
                <w:sz w:val="28"/>
                <w:szCs w:val="28"/>
              </w:rPr>
              <w:t>Content</w:t>
            </w:r>
          </w:p>
        </w:tc>
        <w:tc>
          <w:tcPr>
            <w:tcW w:w="1003" w:type="dxa"/>
            <w:shd w:val="clear" w:color="auto" w:fill="F2F2F2" w:themeFill="background1" w:themeFillShade="F2"/>
          </w:tcPr>
          <w:p w14:paraId="7FC4E5AD" w14:textId="77777777" w:rsidR="00014ADB" w:rsidRPr="00D46048" w:rsidRDefault="00014ADB" w:rsidP="008A4B8C">
            <w:pPr>
              <w:pStyle w:val="Body"/>
              <w:rPr>
                <w:rFonts w:ascii="Century Gothic" w:hAnsi="Century Gothic"/>
                <w:b/>
              </w:rPr>
            </w:pPr>
            <w:r w:rsidRPr="00066BD1">
              <w:rPr>
                <w:rFonts w:ascii="Century Gothic" w:hAnsi="Century Gothic"/>
                <w:b/>
                <w:color w:val="000000" w:themeColor="text1"/>
              </w:rPr>
              <w:t>Implicit</w:t>
            </w:r>
          </w:p>
        </w:tc>
        <w:tc>
          <w:tcPr>
            <w:tcW w:w="1727" w:type="dxa"/>
            <w:shd w:val="clear" w:color="auto" w:fill="F2F2F2" w:themeFill="background1" w:themeFillShade="F2"/>
          </w:tcPr>
          <w:p w14:paraId="37E70DA8" w14:textId="77777777" w:rsidR="00014ADB" w:rsidRPr="009A04E1" w:rsidRDefault="00014ADB" w:rsidP="0012094B">
            <w:pPr>
              <w:spacing w:before="80" w:after="40" w:line="230" w:lineRule="exact"/>
              <w:rPr>
                <w:rFonts w:ascii="Helvetica" w:hAnsi="Helvetica" w:cs="Calibri"/>
                <w:b/>
                <w:caps/>
                <w:color w:val="778D94"/>
                <w:sz w:val="20"/>
                <w:szCs w:val="20"/>
                <w:lang w:bidi="ar-SA"/>
              </w:rPr>
            </w:pPr>
            <w:r w:rsidRPr="009A04E1">
              <w:rPr>
                <w:rFonts w:ascii="Helvetica" w:hAnsi="Helvetica" w:cs="Calibri"/>
                <w:b/>
                <w:caps/>
                <w:color w:val="778D94"/>
                <w:sz w:val="20"/>
                <w:szCs w:val="20"/>
                <w:lang w:val="en-CA" w:bidi="ar-SA"/>
              </w:rPr>
              <w:t>Food Studies:</w:t>
            </w:r>
          </w:p>
          <w:p w14:paraId="3603B47B" w14:textId="77777777" w:rsidR="00014ADB" w:rsidRPr="009A04E1" w:rsidRDefault="00014ADB" w:rsidP="00014ADB">
            <w:pPr>
              <w:pStyle w:val="Tablebodybold"/>
            </w:pPr>
            <w:r w:rsidRPr="009A04E1">
              <w:rPr>
                <w:lang w:val="en-CA"/>
              </w:rPr>
              <w:t>factors that influence food choices, including cost, availability, and family and cultural influences</w:t>
            </w:r>
          </w:p>
          <w:p w14:paraId="472FB357" w14:textId="77777777" w:rsidR="00014ADB" w:rsidRPr="009A04E1" w:rsidRDefault="00014ADB" w:rsidP="00014ADB">
            <w:pPr>
              <w:pStyle w:val="Tablebodybold"/>
            </w:pPr>
            <w:r w:rsidRPr="009A04E1">
              <w:t>variety of textile materials</w:t>
            </w:r>
          </w:p>
          <w:p w14:paraId="0BFFF696" w14:textId="77777777" w:rsidR="00014ADB" w:rsidRPr="009A04E1" w:rsidRDefault="00014ADB" w:rsidP="00014ADB">
            <w:pPr>
              <w:pStyle w:val="Bullet"/>
              <w:rPr>
                <w:lang w:val="en-CA"/>
              </w:rPr>
            </w:pPr>
            <w:r w:rsidRPr="009A04E1">
              <w:rPr>
                <w:lang w:val="en-CA"/>
              </w:rPr>
              <w:t xml:space="preserve">for example, leather, cedar, wool, cotton, felt, embroidery thread, yarn, grasses and reeds, pine needles, </w:t>
            </w:r>
            <w:r w:rsidRPr="009A04E1">
              <w:rPr>
                <w:lang w:val="en-CA"/>
              </w:rPr>
              <w:br/>
              <w:t>sinew, plastic, used items and fabrics (e.g., food wrappers, old clothing)</w:t>
            </w:r>
          </w:p>
          <w:p w14:paraId="75A39422" w14:textId="77777777" w:rsidR="00014ADB" w:rsidRPr="009A04E1" w:rsidRDefault="00014ADB" w:rsidP="00014ADB">
            <w:pPr>
              <w:pStyle w:val="Tablebodybold"/>
            </w:pPr>
            <w:r w:rsidRPr="009A04E1">
              <w:t>hand construction techniques for producing and/or repairing textile items</w:t>
            </w:r>
          </w:p>
          <w:p w14:paraId="1F76CCAC" w14:textId="77777777" w:rsidR="00014ADB" w:rsidRPr="009A04E1" w:rsidRDefault="00014ADB" w:rsidP="00014ADB">
            <w:pPr>
              <w:pStyle w:val="Bullet"/>
              <w:rPr>
                <w:lang w:val="en-CA"/>
              </w:rPr>
            </w:pPr>
            <w:r w:rsidRPr="009A04E1">
              <w:rPr>
                <w:lang w:val="en-CA"/>
              </w:rPr>
              <w:t xml:space="preserve">for example, hand sewing, knitting (needles, arm, spool), crocheting, weaving, darning, up-cycling </w:t>
            </w:r>
            <w:r w:rsidRPr="009A04E1">
              <w:rPr>
                <w:lang w:val="en-CA"/>
              </w:rPr>
              <w:br/>
              <w:t>(e.g., turning an underused item into something else), embellishing existing items</w:t>
            </w:r>
          </w:p>
          <w:p w14:paraId="2B96A0C0" w14:textId="77777777" w:rsidR="00014ADB" w:rsidRPr="009A04E1" w:rsidRDefault="00014ADB" w:rsidP="0012094B">
            <w:pPr>
              <w:spacing w:before="80" w:after="40" w:line="230" w:lineRule="exact"/>
              <w:rPr>
                <w:rFonts w:ascii="Helvetica" w:hAnsi="Helvetica" w:cs="Calibri"/>
                <w:b/>
                <w:caps/>
                <w:color w:val="778D94"/>
                <w:sz w:val="20"/>
                <w:szCs w:val="20"/>
                <w:lang w:bidi="ar-SA"/>
              </w:rPr>
            </w:pPr>
            <w:r w:rsidRPr="00014ADB">
              <w:rPr>
                <w:rFonts w:ascii="Helvetica" w:hAnsi="Helvetica" w:cs="Calibri"/>
                <w:b/>
                <w:caps/>
                <w:color w:val="778D94"/>
                <w:sz w:val="20"/>
                <w:szCs w:val="20"/>
                <w:lang w:val="en-CA" w:bidi="ar-SA"/>
              </w:rPr>
              <w:t>Woodwork</w:t>
            </w:r>
            <w:r w:rsidRPr="009A04E1">
              <w:rPr>
                <w:rFonts w:ascii="Helvetica" w:hAnsi="Helvetica" w:cs="Calibri"/>
                <w:b/>
                <w:caps/>
                <w:color w:val="778D94"/>
                <w:sz w:val="20"/>
                <w:szCs w:val="20"/>
                <w:lang w:bidi="ar-SA"/>
              </w:rPr>
              <w:t>:</w:t>
            </w:r>
          </w:p>
          <w:p w14:paraId="4CA1BD6A" w14:textId="77777777" w:rsidR="00014ADB" w:rsidRPr="009A04E1" w:rsidRDefault="00014ADB" w:rsidP="00014ADB">
            <w:pPr>
              <w:pStyle w:val="Tablebodybold"/>
            </w:pPr>
            <w:r w:rsidRPr="009A04E1">
              <w:rPr>
                <w:lang w:val="en-CA"/>
              </w:rPr>
              <w:t>ways in which wood is used in local cultural and economic contexts</w:t>
            </w:r>
          </w:p>
          <w:p w14:paraId="5BCCD76E" w14:textId="73EC7946" w:rsidR="00014ADB" w:rsidRDefault="00014ADB" w:rsidP="00014ADB">
            <w:pPr>
              <w:pStyle w:val="Tablebodybold"/>
              <w:spacing w:after="80"/>
            </w:pPr>
            <w:r w:rsidRPr="009A04E1">
              <w:rPr>
                <w:lang w:val="en-CA"/>
              </w:rPr>
              <w:t>woodworking techniques and basic joinery using hand tools</w:t>
            </w:r>
          </w:p>
        </w:tc>
        <w:tc>
          <w:tcPr>
            <w:tcW w:w="1544" w:type="dxa"/>
            <w:shd w:val="clear" w:color="auto" w:fill="F2F2F2" w:themeFill="background1" w:themeFillShade="F2"/>
          </w:tcPr>
          <w:p w14:paraId="50D3DBAB" w14:textId="77777777" w:rsidR="00014ADB" w:rsidRDefault="00014ADB" w:rsidP="00014ADB">
            <w:pPr>
              <w:pStyle w:val="Tablebodybold"/>
              <w:rPr>
                <w:lang w:val="en-CA"/>
              </w:rPr>
            </w:pPr>
            <w:r>
              <w:rPr>
                <w:lang w:val="en-CA"/>
              </w:rPr>
              <w:t>contributions of innovative artists from a variety of genres, communities, times, and places</w:t>
            </w:r>
          </w:p>
          <w:p w14:paraId="73D9A382" w14:textId="77777777" w:rsidR="00014ADB" w:rsidRDefault="00014ADB" w:rsidP="00014ADB">
            <w:pPr>
              <w:pStyle w:val="Tablebodybold"/>
              <w:rPr>
                <w:lang w:val="en-CA"/>
              </w:rPr>
            </w:pPr>
            <w:r>
              <w:rPr>
                <w:lang w:val="en-CA"/>
              </w:rPr>
              <w:t>the ethics of cultural appropriation and plagiarism</w:t>
            </w:r>
          </w:p>
          <w:p w14:paraId="41B428EE" w14:textId="7F62A982" w:rsidR="00014ADB" w:rsidRDefault="00014ADB" w:rsidP="00014ADB">
            <w:pPr>
              <w:pStyle w:val="Bullet"/>
            </w:pPr>
            <w:r w:rsidRPr="00F10C9E">
              <w:rPr>
                <w:lang w:val="en-CA"/>
              </w:rPr>
              <w:t>use of cultural motifs, themes, “voices,” images, knowledge, stories, songs, drama, etc.</w:t>
            </w:r>
            <w:r>
              <w:rPr>
                <w:lang w:val="en-CA"/>
              </w:rPr>
              <w:t xml:space="preserve"> </w:t>
            </w:r>
            <w:r w:rsidRPr="00F10C9E">
              <w:rPr>
                <w:lang w:val="en-CA"/>
              </w:rPr>
              <w:t>shared without permission or without appropriate context or in a way that may misrepresent</w:t>
            </w:r>
            <w:r>
              <w:rPr>
                <w:lang w:val="en-CA"/>
              </w:rPr>
              <w:t xml:space="preserve"> </w:t>
            </w:r>
            <w:r w:rsidRPr="00F10C9E">
              <w:rPr>
                <w:lang w:val="en-CA"/>
              </w:rPr>
              <w:t>the real experience of the people from whose culture it is drawn</w:t>
            </w:r>
          </w:p>
        </w:tc>
        <w:tc>
          <w:tcPr>
            <w:tcW w:w="1636" w:type="dxa"/>
            <w:shd w:val="clear" w:color="auto" w:fill="F2F2F2" w:themeFill="background1" w:themeFillShade="F2"/>
          </w:tcPr>
          <w:p w14:paraId="3B64A254" w14:textId="77777777" w:rsidR="00014ADB" w:rsidRDefault="00014ADB" w:rsidP="00014ADB">
            <w:pPr>
              <w:pStyle w:val="Tablebodybold"/>
            </w:pPr>
            <w:r>
              <w:t>local and global needs and opportunities</w:t>
            </w:r>
          </w:p>
          <w:p w14:paraId="1EB43F7E" w14:textId="77777777" w:rsidR="00014ADB" w:rsidRPr="009C151F" w:rsidRDefault="00014ADB" w:rsidP="00014ADB">
            <w:pPr>
              <w:pStyle w:val="Bullet"/>
              <w:rPr>
                <w:b/>
              </w:rPr>
            </w:pPr>
            <w:r w:rsidRPr="009C151F">
              <w:t>Social justice, environmental stewardship, sustainability, effective use of resources, etc.</w:t>
            </w:r>
          </w:p>
          <w:p w14:paraId="03F4897D" w14:textId="77777777" w:rsidR="00014ADB" w:rsidRDefault="00014ADB" w:rsidP="00014ADB">
            <w:pPr>
              <w:pStyle w:val="Tablebodybold"/>
            </w:pPr>
            <w:r>
              <w:t>cultural and social awareness</w:t>
            </w:r>
          </w:p>
          <w:p w14:paraId="209648C6" w14:textId="574B232D" w:rsidR="00014ADB" w:rsidRDefault="00014ADB" w:rsidP="00014ADB">
            <w:pPr>
              <w:pStyle w:val="Tablebodybold"/>
            </w:pPr>
            <w:r>
              <w:t>role of mentors, family, community, school, and personal network in decision making</w:t>
            </w:r>
          </w:p>
        </w:tc>
        <w:tc>
          <w:tcPr>
            <w:tcW w:w="1077" w:type="dxa"/>
            <w:shd w:val="clear" w:color="auto" w:fill="F2F2F2" w:themeFill="background1" w:themeFillShade="F2"/>
          </w:tcPr>
          <w:p w14:paraId="7B35A37C" w14:textId="77777777" w:rsidR="00014ADB" w:rsidRPr="00A56724" w:rsidRDefault="00014ADB" w:rsidP="00014ADB">
            <w:pPr>
              <w:pStyle w:val="Tablebodybold"/>
            </w:pPr>
            <w:r w:rsidRPr="00A56724">
              <w:t xml:space="preserve">forms, functions, and genres of text </w:t>
            </w:r>
          </w:p>
          <w:p w14:paraId="53CDB9F7" w14:textId="77777777" w:rsidR="00014ADB" w:rsidRPr="00A56724" w:rsidRDefault="00014ADB" w:rsidP="00014ADB">
            <w:pPr>
              <w:pStyle w:val="Tablebodybold"/>
            </w:pPr>
            <w:r w:rsidRPr="00A56724">
              <w:t>oral language strategies</w:t>
            </w:r>
          </w:p>
          <w:p w14:paraId="2204E919" w14:textId="1664248E" w:rsidR="00014ADB" w:rsidRDefault="00014ADB" w:rsidP="00014ADB">
            <w:pPr>
              <w:pStyle w:val="Tablebodybold"/>
            </w:pPr>
            <w:r w:rsidRPr="00A56724">
              <w:t>features of oral language</w:t>
            </w:r>
          </w:p>
        </w:tc>
        <w:tc>
          <w:tcPr>
            <w:tcW w:w="2118" w:type="dxa"/>
            <w:shd w:val="clear" w:color="auto" w:fill="F2F2F2" w:themeFill="background1" w:themeFillShade="F2"/>
          </w:tcPr>
          <w:p w14:paraId="316F28F1" w14:textId="016747BE" w:rsidR="00014ADB" w:rsidRPr="005D16E4" w:rsidRDefault="00014ADB" w:rsidP="005D16E4"/>
        </w:tc>
        <w:tc>
          <w:tcPr>
            <w:tcW w:w="2346" w:type="dxa"/>
            <w:shd w:val="clear" w:color="auto" w:fill="F2F2F2" w:themeFill="background1" w:themeFillShade="F2"/>
          </w:tcPr>
          <w:p w14:paraId="10827C9F" w14:textId="15B9C594" w:rsidR="00014ADB" w:rsidRDefault="00014ADB" w:rsidP="00066BD1">
            <w:pPr>
              <w:pStyle w:val="Tablebodybold"/>
            </w:pPr>
            <w:r w:rsidRPr="000A1922">
              <w:t xml:space="preserve">cultural </w:t>
            </w:r>
            <w:r>
              <w:t xml:space="preserve">and historical </w:t>
            </w:r>
            <w:r w:rsidRPr="000A1922">
              <w:t>elements</w:t>
            </w:r>
          </w:p>
        </w:tc>
        <w:tc>
          <w:tcPr>
            <w:tcW w:w="1907" w:type="dxa"/>
            <w:shd w:val="clear" w:color="auto" w:fill="F2F2F2" w:themeFill="background1" w:themeFillShade="F2"/>
          </w:tcPr>
          <w:p w14:paraId="3284D91E" w14:textId="77777777" w:rsidR="00014ADB" w:rsidRPr="008A2A37" w:rsidRDefault="00014ADB" w:rsidP="00014ADB">
            <w:pPr>
              <w:pStyle w:val="Tablebodybold"/>
              <w:rPr>
                <w:i/>
                <w:lang w:val="en-CA"/>
              </w:rPr>
            </w:pPr>
            <w:r w:rsidRPr="008A2A37">
              <w:rPr>
                <w:i/>
                <w:lang w:val="en-CA"/>
              </w:rPr>
              <w:t>Core French:</w:t>
            </w:r>
          </w:p>
          <w:p w14:paraId="2D8A1E74" w14:textId="77777777" w:rsidR="00014ADB" w:rsidRDefault="00014ADB" w:rsidP="00014ADB">
            <w:pPr>
              <w:pStyle w:val="Tablebodybold"/>
              <w:rPr>
                <w:lang w:val="en-CA"/>
              </w:rPr>
            </w:pPr>
            <w:r>
              <w:rPr>
                <w:lang w:val="en-CA"/>
              </w:rPr>
              <w:t>Traditions and other cultural aspects of Francophone regions</w:t>
            </w:r>
          </w:p>
          <w:p w14:paraId="26BF17B7" w14:textId="77777777" w:rsidR="00014ADB" w:rsidRPr="008A2A37" w:rsidRDefault="00014ADB" w:rsidP="00014ADB">
            <w:pPr>
              <w:pStyle w:val="Tablebodybold"/>
              <w:rPr>
                <w:i/>
                <w:lang w:val="en-CA"/>
              </w:rPr>
            </w:pPr>
            <w:r w:rsidRPr="008A2A37">
              <w:rPr>
                <w:i/>
                <w:lang w:val="en-CA"/>
              </w:rPr>
              <w:t>Core French, German, Italian, Japanese, Korean, Mandarin, Punjabi, Spanish:</w:t>
            </w:r>
          </w:p>
          <w:p w14:paraId="0BFD9D94" w14:textId="77777777" w:rsidR="00014ADB" w:rsidRDefault="00014ADB" w:rsidP="00014ADB">
            <w:pPr>
              <w:pStyle w:val="Tablebodybold"/>
              <w:rPr>
                <w:lang w:val="en-CA"/>
              </w:rPr>
            </w:pPr>
            <w:r>
              <w:rPr>
                <w:lang w:val="en-CA"/>
              </w:rPr>
              <w:t>ethics of cultural appropriation and plagiarism</w:t>
            </w:r>
          </w:p>
          <w:p w14:paraId="78F395C8" w14:textId="1B92DEEE" w:rsidR="00014ADB" w:rsidRDefault="00014ADB" w:rsidP="00014ADB">
            <w:pPr>
              <w:pStyle w:val="Bullet"/>
            </w:pPr>
            <w:r>
              <w:rPr>
                <w:lang w:val="en-CA"/>
              </w:rPr>
              <w:t>use of a cultural motif, theme, “voice,” image, knowledge, story, song, or drama, shared without permission or without appropriate context or in a way that may misrepresent the real experience of the people from whose culture it is drawn</w:t>
            </w:r>
          </w:p>
        </w:tc>
        <w:tc>
          <w:tcPr>
            <w:tcW w:w="2747" w:type="dxa"/>
            <w:shd w:val="clear" w:color="auto" w:fill="F2F2F2" w:themeFill="background1" w:themeFillShade="F2"/>
          </w:tcPr>
          <w:p w14:paraId="2E22F058" w14:textId="4FF8C566" w:rsidR="00014ADB" w:rsidRPr="00014ADB" w:rsidRDefault="00014ADB" w:rsidP="00014ADB">
            <w:pPr>
              <w:pStyle w:val="Tablebodybold"/>
              <w:rPr>
                <w:rFonts w:ascii="HelveticaLTStd-Bold" w:hAnsi="HelveticaLTStd-Bold" w:cs="HelveticaLTStd-Bold"/>
                <w:bCs/>
                <w:lang w:val="en-CA"/>
              </w:rPr>
            </w:pPr>
            <w:r w:rsidRPr="00014ADB">
              <w:rPr>
                <w:lang w:val="en-CA"/>
              </w:rPr>
              <w:t xml:space="preserve">operations with rational numbers (addition, subtraction, multiplication, division, </w:t>
            </w:r>
            <w:r w:rsidRPr="00014ADB">
              <w:rPr>
                <w:rFonts w:ascii="HelveticaLTStd-Bold" w:hAnsi="HelveticaLTStd-Bold" w:cs="HelveticaLTStd-Bold"/>
                <w:bCs/>
                <w:lang w:val="en-CA"/>
              </w:rPr>
              <w:t>and order of operations)</w:t>
            </w:r>
          </w:p>
          <w:p w14:paraId="0D6B3457" w14:textId="77777777" w:rsidR="00014ADB" w:rsidRPr="0024538B" w:rsidRDefault="00014ADB" w:rsidP="00014ADB">
            <w:pPr>
              <w:pStyle w:val="Bullet"/>
              <w:rPr>
                <w:rFonts w:ascii="Calibri-LightItalic" w:hAnsi="Calibri-LightItalic" w:cs="Calibri-LightItalic"/>
                <w:lang w:val="en-CA"/>
              </w:rPr>
            </w:pPr>
            <w:r w:rsidRPr="0024538B">
              <w:rPr>
                <w:lang w:val="en-CA"/>
              </w:rPr>
              <w:t>paddle making</w:t>
            </w:r>
          </w:p>
          <w:p w14:paraId="64C3B54F" w14:textId="77777777" w:rsidR="00014ADB" w:rsidRDefault="00014ADB" w:rsidP="00014ADB">
            <w:pPr>
              <w:pStyle w:val="Tablebodybold"/>
              <w:rPr>
                <w:lang w:val="en-CA"/>
              </w:rPr>
            </w:pPr>
            <w:r>
              <w:rPr>
                <w:lang w:val="en-CA"/>
              </w:rPr>
              <w:t>two-variable linear relations, using graphing, interpolation, and extrapolation</w:t>
            </w:r>
          </w:p>
          <w:p w14:paraId="430F9162" w14:textId="77777777" w:rsidR="00014ADB" w:rsidRPr="0024538B" w:rsidRDefault="00014ADB" w:rsidP="00014ADB">
            <w:pPr>
              <w:pStyle w:val="Bullet"/>
              <w:rPr>
                <w:rFonts w:ascii="Calibri-LightItalic" w:hAnsi="Calibri-LightItalic" w:cs="Calibri-LightItalic"/>
                <w:lang w:val="en-CA"/>
              </w:rPr>
            </w:pPr>
            <w:r w:rsidRPr="0024538B">
              <w:rPr>
                <w:lang w:val="en-CA"/>
              </w:rPr>
              <w:t>spirit canoe journey predictions and daily checks</w:t>
            </w:r>
          </w:p>
          <w:p w14:paraId="474935D7" w14:textId="77777777" w:rsidR="00014ADB" w:rsidRDefault="00014ADB" w:rsidP="00014ADB">
            <w:pPr>
              <w:pStyle w:val="Tablebodybold"/>
              <w:rPr>
                <w:lang w:val="en-CA"/>
              </w:rPr>
            </w:pPr>
            <w:r>
              <w:rPr>
                <w:lang w:val="en-CA"/>
              </w:rPr>
              <w:t>spatial proportional reasoning</w:t>
            </w:r>
          </w:p>
          <w:p w14:paraId="5EA35FC1" w14:textId="77777777" w:rsidR="00014ADB" w:rsidRPr="0024538B" w:rsidRDefault="00014ADB" w:rsidP="00014ADB">
            <w:pPr>
              <w:pStyle w:val="Bullet"/>
              <w:rPr>
                <w:lang w:val="en-CA"/>
              </w:rPr>
            </w:pPr>
            <w:r w:rsidRPr="0024538B">
              <w:rPr>
                <w:lang w:val="en-CA"/>
              </w:rPr>
              <w:t>integration of scale for First Peoples mural work, use of traditional design in current First Peoples fashion design, use of similar triangles to create longhouses/models</w:t>
            </w:r>
          </w:p>
          <w:p w14:paraId="3C9D6979" w14:textId="77777777" w:rsidR="00014ADB" w:rsidRDefault="00014ADB" w:rsidP="00014ADB">
            <w:pPr>
              <w:pStyle w:val="Tablebodybold"/>
              <w:rPr>
                <w:lang w:val="en-CA"/>
              </w:rPr>
            </w:pPr>
            <w:r>
              <w:rPr>
                <w:lang w:val="en-CA"/>
              </w:rPr>
              <w:t>statistics in society</w:t>
            </w:r>
          </w:p>
          <w:p w14:paraId="7DE4122E" w14:textId="77777777" w:rsidR="00014ADB" w:rsidRPr="0024538B" w:rsidRDefault="00014ADB" w:rsidP="00014ADB">
            <w:pPr>
              <w:pStyle w:val="Bullet"/>
              <w:rPr>
                <w:lang w:val="en-CA"/>
              </w:rPr>
            </w:pPr>
            <w:r w:rsidRPr="0024538B">
              <w:rPr>
                <w:lang w:val="en-CA"/>
              </w:rPr>
              <w:t>using First Peoples data on water quality, Statistics Canada data on income, health,</w:t>
            </w:r>
            <w:r>
              <w:rPr>
                <w:lang w:val="en-CA"/>
              </w:rPr>
              <w:t xml:space="preserve"> </w:t>
            </w:r>
            <w:r w:rsidRPr="0024538B">
              <w:rPr>
                <w:lang w:val="en-CA"/>
              </w:rPr>
              <w:t>housing, population</w:t>
            </w:r>
          </w:p>
          <w:p w14:paraId="319A7D00" w14:textId="77777777" w:rsidR="00014ADB" w:rsidRDefault="00014ADB" w:rsidP="00014ADB">
            <w:pPr>
              <w:pStyle w:val="Tablebodybold"/>
              <w:rPr>
                <w:lang w:val="en-CA"/>
              </w:rPr>
            </w:pPr>
            <w:r>
              <w:rPr>
                <w:lang w:val="en-CA"/>
              </w:rPr>
              <w:t>financial literacy – simple budgets and transactions</w:t>
            </w:r>
          </w:p>
          <w:p w14:paraId="7EE9A90A" w14:textId="0EBA4072" w:rsidR="00014ADB" w:rsidRDefault="00014ADB" w:rsidP="00014ADB">
            <w:pPr>
              <w:pStyle w:val="Bullet"/>
            </w:pPr>
            <w:r w:rsidRPr="0024538B">
              <w:rPr>
                <w:lang w:val="en-CA"/>
              </w:rPr>
              <w:t>creating a budget/plan to host a First Peoples event</w:t>
            </w:r>
          </w:p>
        </w:tc>
        <w:tc>
          <w:tcPr>
            <w:tcW w:w="1623" w:type="dxa"/>
            <w:shd w:val="clear" w:color="auto" w:fill="F2F2F2" w:themeFill="background1" w:themeFillShade="F2"/>
          </w:tcPr>
          <w:p w14:paraId="3207862F" w14:textId="77777777" w:rsidR="00014ADB" w:rsidRPr="00240236" w:rsidRDefault="00014ADB" w:rsidP="00014ADB">
            <w:pPr>
              <w:pStyle w:val="Tablebodybold"/>
              <w:rPr>
                <w:i/>
              </w:rPr>
            </w:pPr>
            <w:r w:rsidRPr="00240236">
              <w:t>how to participate in different types of physical activities, including individual and dual</w:t>
            </w:r>
            <w:r>
              <w:t xml:space="preserve"> </w:t>
            </w:r>
            <w:r w:rsidRPr="00240236">
              <w:t>activities, rhythmic activities, and games</w:t>
            </w:r>
          </w:p>
          <w:p w14:paraId="56B07E74" w14:textId="65B37B4F" w:rsidR="00014ADB" w:rsidRDefault="00014ADB" w:rsidP="00014ADB">
            <w:pPr>
              <w:pStyle w:val="Bullet"/>
            </w:pPr>
            <w:r w:rsidRPr="00F60965">
              <w:t>traditional Aboriginal games</w:t>
            </w:r>
          </w:p>
        </w:tc>
        <w:tc>
          <w:tcPr>
            <w:tcW w:w="2064" w:type="dxa"/>
            <w:shd w:val="clear" w:color="auto" w:fill="F2F2F2" w:themeFill="background1" w:themeFillShade="F2"/>
          </w:tcPr>
          <w:p w14:paraId="413B5D0B" w14:textId="77777777" w:rsidR="00014ADB" w:rsidRPr="00542C3F" w:rsidRDefault="00014ADB" w:rsidP="00014ADB">
            <w:pPr>
              <w:pStyle w:val="Tablebodybold"/>
            </w:pPr>
            <w:r w:rsidRPr="00542C3F">
              <w:t xml:space="preserve">Evidence of climate change over geological time and the recent impacts of humans </w:t>
            </w:r>
          </w:p>
          <w:p w14:paraId="1D6D3A4D" w14:textId="77777777" w:rsidR="00014ADB" w:rsidRPr="00542C3F" w:rsidRDefault="00014ADB" w:rsidP="00014ADB">
            <w:pPr>
              <w:pStyle w:val="Keyquestions"/>
            </w:pPr>
            <w:r w:rsidRPr="00542C3F">
              <w:t>change in climate affects:</w:t>
            </w:r>
          </w:p>
          <w:p w14:paraId="02626482" w14:textId="77777777" w:rsidR="00014ADB" w:rsidRPr="00542C3F" w:rsidRDefault="00014ADB" w:rsidP="00014ADB">
            <w:pPr>
              <w:pStyle w:val="Bullet"/>
            </w:pPr>
            <w:r w:rsidRPr="00542C3F">
              <w:t>the interconnectedness of plants and animals, and their local environment</w:t>
            </w:r>
          </w:p>
          <w:p w14:paraId="13B67C1D" w14:textId="77777777" w:rsidR="00014ADB" w:rsidRPr="00542C3F" w:rsidRDefault="00014ADB" w:rsidP="00014ADB">
            <w:pPr>
              <w:pStyle w:val="Bullet"/>
            </w:pPr>
            <w:r w:rsidRPr="00542C3F">
              <w:t>e.g., changes to harvesting dates, changes to schedules due to early/later ripening and runs, lowered water levels in creeks, rivers and lakes, change in humidity impacts the ability to preserve salmon, etc.</w:t>
            </w:r>
          </w:p>
          <w:p w14:paraId="5AC41072" w14:textId="77777777" w:rsidR="00014ADB" w:rsidRPr="00542C3F" w:rsidRDefault="00014ADB" w:rsidP="00014ADB">
            <w:pPr>
              <w:pStyle w:val="Keyquestions"/>
            </w:pPr>
            <w:r w:rsidRPr="00542C3F">
              <w:t>impacts of humans:</w:t>
            </w:r>
          </w:p>
          <w:p w14:paraId="2EB7C0D4" w14:textId="77777777" w:rsidR="00014ADB" w:rsidRPr="00542C3F" w:rsidRDefault="00014ADB" w:rsidP="00014ADB">
            <w:pPr>
              <w:pStyle w:val="Bullet"/>
            </w:pPr>
            <w:r w:rsidRPr="00542C3F">
              <w:t>humans are capable of changing Earth’s landscape, climate and systems</w:t>
            </w:r>
          </w:p>
          <w:p w14:paraId="420E9920" w14:textId="5A6D4F91" w:rsidR="00014ADB" w:rsidRDefault="00014ADB" w:rsidP="00014ADB">
            <w:pPr>
              <w:pStyle w:val="Bullet"/>
            </w:pPr>
            <w:r w:rsidRPr="00D14363">
              <w:t>efficacy of sustainable practices</w:t>
            </w:r>
          </w:p>
        </w:tc>
        <w:tc>
          <w:tcPr>
            <w:tcW w:w="2252" w:type="dxa"/>
            <w:shd w:val="clear" w:color="auto" w:fill="F2F2F2" w:themeFill="background1" w:themeFillShade="F2"/>
          </w:tcPr>
          <w:p w14:paraId="41045421" w14:textId="77777777" w:rsidR="00014ADB" w:rsidRDefault="00014ADB" w:rsidP="00014ADB">
            <w:pPr>
              <w:pStyle w:val="Tablebodybold"/>
            </w:pPr>
            <w:r>
              <w:t>discriminatory policies, attitudes, and historical wrongs</w:t>
            </w:r>
          </w:p>
          <w:p w14:paraId="5E1C4483" w14:textId="77777777" w:rsidR="00014ADB" w:rsidRPr="00E26F0E" w:rsidRDefault="00014ADB" w:rsidP="00014ADB">
            <w:pPr>
              <w:pStyle w:val="Bullet"/>
              <w:rPr>
                <w:b/>
              </w:rPr>
            </w:pPr>
            <w:r w:rsidRPr="00E26F0E">
              <w:t>discriminatory policies toward First Peoples, such as the Indian Act, potlatch ban, residential schools</w:t>
            </w:r>
          </w:p>
          <w:p w14:paraId="7D7D3D36" w14:textId="77777777" w:rsidR="00014ADB" w:rsidRPr="00E26F0E" w:rsidRDefault="00014ADB" w:rsidP="00014ADB">
            <w:pPr>
              <w:pStyle w:val="Bullet"/>
              <w:rPr>
                <w:b/>
              </w:rPr>
            </w:pPr>
            <w:r w:rsidRPr="00E26F0E">
              <w:t>internments</w:t>
            </w:r>
          </w:p>
          <w:p w14:paraId="48A248D6" w14:textId="77777777" w:rsidR="00014ADB" w:rsidRPr="00E26F0E" w:rsidRDefault="00014ADB" w:rsidP="00014ADB">
            <w:pPr>
              <w:pStyle w:val="Bullet"/>
              <w:rPr>
                <w:b/>
              </w:rPr>
            </w:pPr>
            <w:r w:rsidRPr="00E26F0E">
              <w:t>social history</w:t>
            </w:r>
          </w:p>
          <w:p w14:paraId="14D11C47" w14:textId="77777777" w:rsidR="00014ADB" w:rsidRPr="00E26F0E" w:rsidRDefault="00014ADB" w:rsidP="00014ADB">
            <w:pPr>
              <w:pStyle w:val="Bullet"/>
              <w:rPr>
                <w:b/>
              </w:rPr>
            </w:pPr>
            <w:r w:rsidRPr="00E26F0E">
              <w:t>responses to discrimination in Canada</w:t>
            </w:r>
          </w:p>
          <w:p w14:paraId="35367DCD" w14:textId="77777777" w:rsidR="00014ADB" w:rsidRPr="00E26F0E" w:rsidRDefault="00014ADB" w:rsidP="00014ADB">
            <w:pPr>
              <w:pStyle w:val="Bullet"/>
              <w:rPr>
                <w:b/>
              </w:rPr>
            </w:pPr>
            <w:r w:rsidRPr="00E26F0E">
              <w:t xml:space="preserve">How might specific examples of past incidents of inequality (e.g., Head Tax on Chinese immigrants, internment of Japanese-Canadians, residential schools, suffrage, discriminatory federal government </w:t>
            </w:r>
            <w:proofErr w:type="spellStart"/>
            <w:r w:rsidRPr="00E26F0E">
              <w:t>labour</w:t>
            </w:r>
            <w:proofErr w:type="spellEnd"/>
            <w:r w:rsidRPr="00E26F0E">
              <w:t xml:space="preserve"> practices related to gender and sexual orientation) be handled today under the Canadian Charter of Rights and Freedoms?</w:t>
            </w:r>
          </w:p>
          <w:p w14:paraId="0684E92F" w14:textId="77777777" w:rsidR="00014ADB" w:rsidRDefault="00014ADB" w:rsidP="00014ADB">
            <w:pPr>
              <w:pStyle w:val="Tablebodybold"/>
            </w:pPr>
            <w:r>
              <w:t>physiographic features of Canada and geological processes</w:t>
            </w:r>
          </w:p>
          <w:p w14:paraId="33F25D08" w14:textId="77777777" w:rsidR="00014ADB" w:rsidRPr="00E26F0E" w:rsidRDefault="00014ADB" w:rsidP="00014ADB">
            <w:pPr>
              <w:pStyle w:val="Bullet"/>
              <w:rPr>
                <w:b/>
              </w:rPr>
            </w:pPr>
            <w:r w:rsidRPr="00E26F0E">
              <w:t>Role-play negotiations between a wide range of stakeholders involved in the decision to build a new mine or oil pipeline</w:t>
            </w:r>
          </w:p>
          <w:p w14:paraId="27F0AA5A" w14:textId="73E7D525" w:rsidR="00014ADB" w:rsidRPr="0078487E" w:rsidRDefault="00014ADB" w:rsidP="00014ADB">
            <w:pPr>
              <w:pStyle w:val="Bullet"/>
            </w:pPr>
            <w:r w:rsidRPr="00E26F0E">
              <w:t>What perspectives do different groups (e.g., environmental groups, people employed in the forest industry, First Peoples, urban and rural populations) have on the use of natural resource?</w:t>
            </w:r>
          </w:p>
        </w:tc>
      </w:tr>
    </w:tbl>
    <w:p w14:paraId="61986DED" w14:textId="77777777" w:rsidR="00B20826" w:rsidRDefault="00B20826" w:rsidP="00014ADB"/>
    <w:bookmarkEnd w:id="0"/>
    <w:sectPr w:rsidR="00B20826" w:rsidSect="00431E5F">
      <w:headerReference w:type="even" r:id="rId16"/>
      <w:headerReference w:type="default" r:id="rId17"/>
      <w:footerReference w:type="default" r:id="rId18"/>
      <w:headerReference w:type="first" r:id="rId19"/>
      <w:pgSz w:w="24480" w:h="15840" w:orient="landscape"/>
      <w:pgMar w:top="960" w:right="960" w:bottom="960" w:left="960" w:header="720" w:footer="560" w:gutter="0"/>
      <w:pgNumType w:start="1"/>
      <w:cols w:space="720"/>
      <w:docGrid w:linePitch="326"/>
      <w:printerSettings r:id="rId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EDF35" w14:textId="77777777" w:rsidR="00C360AA" w:rsidRDefault="00C360AA">
      <w:r>
        <w:separator/>
      </w:r>
    </w:p>
  </w:endnote>
  <w:endnote w:type="continuationSeparator" w:id="0">
    <w:p w14:paraId="4B9E8F31" w14:textId="77777777" w:rsidR="00C360AA" w:rsidRDefault="00C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Light">
    <w:charset w:val="00"/>
    <w:family w:val="swiss"/>
    <w:pitch w:val="variable"/>
    <w:sig w:usb0="A00002EF" w:usb1="4000207B" w:usb2="00000000" w:usb3="00000000" w:csb0="0000019F" w:csb1="00000000"/>
  </w:font>
  <w:font w:name="Helvetica-Bold">
    <w:charset w:val="00"/>
    <w:family w:val="auto"/>
    <w:pitch w:val="variable"/>
    <w:sig w:usb0="E00002FF" w:usb1="5000785B" w:usb2="00000000" w:usb3="00000000" w:csb0="0000019F" w:csb1="00000000"/>
  </w:font>
  <w:font w:name="HelveticaLTStd-Bold">
    <w:charset w:val="00"/>
    <w:family w:val="auto"/>
    <w:pitch w:val="variable"/>
    <w:sig w:usb0="800002AF" w:usb1="5000204A" w:usb2="00000000" w:usb3="00000000" w:csb0="00000005" w:csb1="00000000"/>
  </w:font>
  <w:font w:name="Calibri-LightItalic">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9157A0" w14:textId="661A265E" w:rsidR="00F97859" w:rsidRPr="004229DD" w:rsidRDefault="00F97859" w:rsidP="004D4C72">
    <w:pPr>
      <w:pStyle w:val="Footer"/>
      <w:pBdr>
        <w:top w:val="single" w:sz="4" w:space="6" w:color="auto"/>
      </w:pBdr>
      <w:tabs>
        <w:tab w:val="clear" w:pos="4320"/>
        <w:tab w:val="clear" w:pos="8640"/>
        <w:tab w:val="left" w:pos="2880"/>
        <w:tab w:val="center" w:pos="11280"/>
        <w:tab w:val="right" w:pos="224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Cross-Curricular References</w:t>
    </w:r>
    <w:r w:rsidR="00751AEB">
      <w:rPr>
        <w:rFonts w:ascii="Helvetica" w:hAnsi="Helvetica"/>
        <w:i/>
        <w:sz w:val="20"/>
        <w:szCs w:val="20"/>
      </w:rPr>
      <w:t xml:space="preserve"> K–9</w:t>
    </w:r>
    <w:r>
      <w:rPr>
        <w:rFonts w:ascii="Helvetica" w:hAnsi="Helvetica"/>
        <w:i/>
        <w:sz w:val="20"/>
        <w:szCs w:val="20"/>
      </w:rPr>
      <w:t xml:space="preserve"> – Grade </w:t>
    </w:r>
    <w:r w:rsidR="00014ADB">
      <w:rPr>
        <w:rFonts w:ascii="Helvetica" w:hAnsi="Helvetica"/>
        <w:i/>
        <w:sz w:val="20"/>
        <w:szCs w:val="20"/>
      </w:rPr>
      <w:t>9</w:t>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431E5F">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2576" behindDoc="1" locked="0" layoutInCell="1" allowOverlap="1" wp14:anchorId="4D0C4282" wp14:editId="6A606445">
          <wp:simplePos x="0" y="0"/>
          <wp:positionH relativeFrom="page">
            <wp:posOffset>0</wp:posOffset>
          </wp:positionH>
          <wp:positionV relativeFrom="page">
            <wp:posOffset>9136821</wp:posOffset>
          </wp:positionV>
          <wp:extent cx="1828800" cy="9271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4867096C" w:rsidR="004D4C72" w:rsidRPr="004229DD" w:rsidRDefault="004D4C72" w:rsidP="004D4C72">
    <w:pPr>
      <w:pStyle w:val="Footer"/>
      <w:pBdr>
        <w:top w:val="single" w:sz="4" w:space="6" w:color="auto"/>
      </w:pBdr>
      <w:tabs>
        <w:tab w:val="clear" w:pos="4320"/>
        <w:tab w:val="clear" w:pos="8640"/>
        <w:tab w:val="left" w:pos="2880"/>
        <w:tab w:val="center" w:pos="11280"/>
        <w:tab w:val="right" w:pos="22440"/>
      </w:tabs>
      <w:spacing w:before="120"/>
      <w:ind w:right="40"/>
      <w:jc w:val="center"/>
      <w:rPr>
        <w:i/>
      </w:rPr>
    </w:pPr>
    <w:r>
      <w:rPr>
        <w:rFonts w:ascii="Helvetica" w:hAnsi="Helvetica"/>
        <w:i/>
        <w:sz w:val="20"/>
        <w:szCs w:val="20"/>
      </w:rPr>
      <w:tab/>
    </w:r>
    <w:r>
      <w:rPr>
        <w:rFonts w:ascii="Helvetica" w:hAnsi="Helvetica"/>
        <w:i/>
        <w:sz w:val="20"/>
        <w:szCs w:val="20"/>
      </w:rPr>
      <w:tab/>
      <w:t xml:space="preserve">Indigenous Knowledge and Perspectives: </w:t>
    </w:r>
    <w:r w:rsidR="00D46048">
      <w:rPr>
        <w:rFonts w:ascii="Helvetica" w:hAnsi="Helvetica"/>
        <w:i/>
        <w:sz w:val="20"/>
        <w:szCs w:val="20"/>
      </w:rPr>
      <w:t>Cross-Curricular References</w:t>
    </w:r>
    <w:r w:rsidR="00751AEB">
      <w:rPr>
        <w:rFonts w:ascii="Helvetica" w:hAnsi="Helvetica"/>
        <w:i/>
        <w:sz w:val="20"/>
        <w:szCs w:val="20"/>
      </w:rPr>
      <w:t xml:space="preserve"> K–9</w:t>
    </w:r>
    <w:r w:rsidR="00D46048">
      <w:rPr>
        <w:rFonts w:ascii="Helvetica" w:hAnsi="Helvetica"/>
        <w:i/>
        <w:sz w:val="20"/>
        <w:szCs w:val="20"/>
      </w:rPr>
      <w:t xml:space="preserve"> – Grade </w:t>
    </w:r>
    <w:r w:rsidR="00014ADB">
      <w:rPr>
        <w:rFonts w:ascii="Helvetica" w:hAnsi="Helvetica"/>
        <w:i/>
        <w:sz w:val="20"/>
        <w:szCs w:val="20"/>
      </w:rPr>
      <w:t>9</w:t>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431E5F">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59264" behindDoc="1" locked="0" layoutInCell="1" allowOverlap="1" wp14:anchorId="2799EA1F" wp14:editId="030C5BF7">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7B96D" w14:textId="77777777" w:rsidR="00C360AA" w:rsidRDefault="00C360AA">
      <w:r>
        <w:separator/>
      </w:r>
    </w:p>
  </w:footnote>
  <w:footnote w:type="continuationSeparator" w:id="0">
    <w:p w14:paraId="73FE7A41" w14:textId="77777777" w:rsidR="00C360AA" w:rsidRDefault="00C360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5EFB57" w14:textId="77777777" w:rsidR="00F97859" w:rsidRDefault="00F97859">
    <w:pPr>
      <w:pStyle w:val="Header"/>
    </w:pPr>
    <w:r>
      <w:rPr>
        <w:noProof/>
      </w:rPr>
      <mc:AlternateContent>
        <mc:Choice Requires="wps">
          <w:drawing>
            <wp:anchor distT="0" distB="0" distL="114300" distR="114300" simplePos="0" relativeHeight="251669504" behindDoc="1" locked="0" layoutInCell="0" allowOverlap="1" wp14:anchorId="48B431D6" wp14:editId="43E8A852">
              <wp:simplePos x="0" y="0"/>
              <wp:positionH relativeFrom="margin">
                <wp:align>center</wp:align>
              </wp:positionH>
              <wp:positionV relativeFrom="margin">
                <wp:align>center</wp:align>
              </wp:positionV>
              <wp:extent cx="6392545" cy="107315"/>
              <wp:effectExtent l="0" t="1955800" r="0" b="19462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05FFAF" w14:textId="77777777" w:rsidR="00F97859" w:rsidRDefault="00F97859"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B431D6" id="_x0000_t202" coordsize="21600,21600" o:spt="202" path="m0,0l0,21600,21600,21600,21600,0xe">
              <v:stroke joinstyle="miter"/>
              <v:path gradientshapeok="t" o:connecttype="rect"/>
            </v:shapetype>
            <v:shape id="Text Box 8" o:spid="_x0000_s1026" type="#_x0000_t202" style="position:absolute;margin-left:0;margin-top:0;width:503.35pt;height:8.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XlAYcCAAD8BA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PLF5QG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3105FFAF" w14:textId="77777777" w:rsidR="00F97859" w:rsidRDefault="00F97859"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0169137" w14:textId="77777777" w:rsidR="00F97859" w:rsidRPr="00672F0E" w:rsidRDefault="00F97859" w:rsidP="00672F0E">
    <w:r>
      <w:rPr>
        <w:noProof/>
      </w:rPr>
      <w:drawing>
        <wp:anchor distT="0" distB="0" distL="114300" distR="114300" simplePos="0" relativeHeight="251671552" behindDoc="1" locked="0" layoutInCell="1" allowOverlap="1" wp14:anchorId="4F8E39DD" wp14:editId="1E4EB897">
          <wp:simplePos x="0" y="0"/>
          <wp:positionH relativeFrom="page">
            <wp:align>right</wp:align>
          </wp:positionH>
          <wp:positionV relativeFrom="page">
            <wp:align>top</wp:align>
          </wp:positionV>
          <wp:extent cx="3241040" cy="731520"/>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AA77DA4" w14:textId="77777777" w:rsidR="00F97859" w:rsidRDefault="00F97859">
    <w:pPr>
      <w:pStyle w:val="Header"/>
    </w:pPr>
    <w:r>
      <w:rPr>
        <w:noProof/>
      </w:rPr>
      <mc:AlternateContent>
        <mc:Choice Requires="wps">
          <w:drawing>
            <wp:anchor distT="0" distB="0" distL="114300" distR="114300" simplePos="0" relativeHeight="251670528" behindDoc="1" locked="0" layoutInCell="0" allowOverlap="1" wp14:anchorId="0EF38C40" wp14:editId="30583D48">
              <wp:simplePos x="0" y="0"/>
              <wp:positionH relativeFrom="margin">
                <wp:align>center</wp:align>
              </wp:positionH>
              <wp:positionV relativeFrom="margin">
                <wp:align>center</wp:align>
              </wp:positionV>
              <wp:extent cx="6392545" cy="107315"/>
              <wp:effectExtent l="0" t="1955800" r="0" b="19462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131270" w14:textId="77777777" w:rsidR="00F97859" w:rsidRDefault="00F97859"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F38C40" id="_x0000_t202" coordsize="21600,21600" o:spt="202" path="m0,0l0,21600,21600,21600,21600,0xe">
              <v:stroke joinstyle="miter"/>
              <v:path gradientshapeok="t" o:connecttype="rect"/>
            </v:shapetype>
            <v:shape id="Text Box 7" o:spid="_x0000_s1027" type="#_x0000_t202" style="position:absolute;margin-left:0;margin-top:0;width:503.35pt;height:8.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" o:allowincell="f" filled="f" stroked="f">
              <v:stroke joinstyle="round"/>
              <o:lock v:ext="edit" shapetype="t"/>
              <v:textbox style="mso-fit-shape-to-text:t">
                <w:txbxContent>
                  <w:p w14:paraId="71131270" w14:textId="77777777" w:rsidR="00F97859" w:rsidRDefault="00F97859"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4D4C72" w:rsidRDefault="00431E5F">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6145" type="#_x0000_t136" alt="" style="position:absolute;margin-left:0;margin-top:0;width:503.35pt;height:167.7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4D4C72" w:rsidRPr="00672F0E" w:rsidRDefault="004D4C72"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4D4C72" w:rsidRDefault="00431E5F">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6144" type="#_x0000_t136" alt="" style="position:absolute;margin-left:0;margin-top:0;width:503.35pt;height:167.7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D10CC2"/>
    <w:multiLevelType w:val="hybridMultilevel"/>
    <w:tmpl w:val="AD4A696A"/>
    <w:lvl w:ilvl="0" w:tplc="7102D42E">
      <w:start w:val="1"/>
      <w:numFmt w:val="bullet"/>
      <w:pStyle w:val="Bullet2"/>
      <w:lvlText w:val="o"/>
      <w:lvlJc w:val="left"/>
      <w:pPr>
        <w:ind w:left="1236" w:hanging="360"/>
      </w:pPr>
      <w:rPr>
        <w:rFonts w:ascii="Courier New" w:hAnsi="Courier New" w:cs="Courier New" w:hint="default"/>
      </w:rPr>
    </w:lvl>
    <w:lvl w:ilvl="1" w:tplc="04090003">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
    <w:nsid w:val="4BFE0E01"/>
    <w:multiLevelType w:val="hybridMultilevel"/>
    <w:tmpl w:val="CDD64754"/>
    <w:lvl w:ilvl="0" w:tplc="C9F2F14C">
      <w:start w:val="1"/>
      <w:numFmt w:val="bullet"/>
      <w:pStyle w:val="Bullet"/>
      <w:lvlText w:val=""/>
      <w:lvlJc w:val="left"/>
      <w:pPr>
        <w:ind w:left="1236" w:hanging="360"/>
      </w:pPr>
      <w:rPr>
        <w:rFonts w:ascii="Wingdings" w:hAnsi="Wingdings" w:hint="default"/>
      </w:rPr>
    </w:lvl>
    <w:lvl w:ilvl="1" w:tplc="E66437E8">
      <w:numFmt w:val="bullet"/>
      <w:pStyle w:val="Bullet2elaboration"/>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3">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252789"/>
    <w:multiLevelType w:val="hybridMultilevel"/>
    <w:tmpl w:val="C700EE1A"/>
    <w:lvl w:ilvl="0" w:tplc="CDA6D072">
      <w:start w:val="1"/>
      <w:numFmt w:val="bullet"/>
      <w:lvlText w:val="o"/>
      <w:lvlJc w:val="left"/>
      <w:pPr>
        <w:ind w:left="1236" w:hanging="360"/>
      </w:pPr>
      <w:rPr>
        <w:rFonts w:ascii="Courier New" w:hAnsi="Courier New" w:cs="Courier New" w:hint="default"/>
      </w:rPr>
    </w:lvl>
    <w:lvl w:ilvl="1" w:tplc="DD3ABC12">
      <w:numFmt w:val="bullet"/>
      <w:pStyle w:val="Bullet3"/>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3"/>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4B64"/>
    <w:rsid w:val="00004E93"/>
    <w:rsid w:val="00005319"/>
    <w:rsid w:val="000139C0"/>
    <w:rsid w:val="00014ADB"/>
    <w:rsid w:val="00015486"/>
    <w:rsid w:val="00020DAB"/>
    <w:rsid w:val="00022EFE"/>
    <w:rsid w:val="00034648"/>
    <w:rsid w:val="000359EF"/>
    <w:rsid w:val="00037D77"/>
    <w:rsid w:val="00043817"/>
    <w:rsid w:val="00060496"/>
    <w:rsid w:val="00066BD1"/>
    <w:rsid w:val="00077858"/>
    <w:rsid w:val="00086E84"/>
    <w:rsid w:val="000A051C"/>
    <w:rsid w:val="000B47F2"/>
    <w:rsid w:val="000B75B3"/>
    <w:rsid w:val="000C0BE6"/>
    <w:rsid w:val="000C0D51"/>
    <w:rsid w:val="000C5999"/>
    <w:rsid w:val="000D3A83"/>
    <w:rsid w:val="000D6D05"/>
    <w:rsid w:val="00102F2C"/>
    <w:rsid w:val="001030BC"/>
    <w:rsid w:val="00106371"/>
    <w:rsid w:val="001260D0"/>
    <w:rsid w:val="001374DC"/>
    <w:rsid w:val="001421AF"/>
    <w:rsid w:val="00142578"/>
    <w:rsid w:val="00147C60"/>
    <w:rsid w:val="00150BB7"/>
    <w:rsid w:val="0015592D"/>
    <w:rsid w:val="00161704"/>
    <w:rsid w:val="00175122"/>
    <w:rsid w:val="00181F64"/>
    <w:rsid w:val="00184EDE"/>
    <w:rsid w:val="00191301"/>
    <w:rsid w:val="001913E4"/>
    <w:rsid w:val="001A1C11"/>
    <w:rsid w:val="001A3780"/>
    <w:rsid w:val="001A7668"/>
    <w:rsid w:val="001B15C1"/>
    <w:rsid w:val="001E5B40"/>
    <w:rsid w:val="001F4FAE"/>
    <w:rsid w:val="002013C9"/>
    <w:rsid w:val="00207D98"/>
    <w:rsid w:val="00210B23"/>
    <w:rsid w:val="002236C7"/>
    <w:rsid w:val="0022540E"/>
    <w:rsid w:val="002278CD"/>
    <w:rsid w:val="0023580F"/>
    <w:rsid w:val="0024409D"/>
    <w:rsid w:val="00251CA1"/>
    <w:rsid w:val="00253C28"/>
    <w:rsid w:val="00261D8C"/>
    <w:rsid w:val="00271818"/>
    <w:rsid w:val="0028116D"/>
    <w:rsid w:val="00284E58"/>
    <w:rsid w:val="00285B92"/>
    <w:rsid w:val="00295032"/>
    <w:rsid w:val="002B1B39"/>
    <w:rsid w:val="002B2C2C"/>
    <w:rsid w:val="002B7C8D"/>
    <w:rsid w:val="002B7C90"/>
    <w:rsid w:val="002C1B7B"/>
    <w:rsid w:val="002D09F7"/>
    <w:rsid w:val="002D3600"/>
    <w:rsid w:val="002D37B7"/>
    <w:rsid w:val="002E2577"/>
    <w:rsid w:val="002E70AF"/>
    <w:rsid w:val="002E782B"/>
    <w:rsid w:val="0030194E"/>
    <w:rsid w:val="00302B73"/>
    <w:rsid w:val="00304427"/>
    <w:rsid w:val="00307A78"/>
    <w:rsid w:val="00312E08"/>
    <w:rsid w:val="00324152"/>
    <w:rsid w:val="003270EB"/>
    <w:rsid w:val="00330054"/>
    <w:rsid w:val="00334621"/>
    <w:rsid w:val="0034176B"/>
    <w:rsid w:val="003437CB"/>
    <w:rsid w:val="00353474"/>
    <w:rsid w:val="00353C5B"/>
    <w:rsid w:val="00362B2E"/>
    <w:rsid w:val="0036358E"/>
    <w:rsid w:val="003B5324"/>
    <w:rsid w:val="003C01D5"/>
    <w:rsid w:val="003C3834"/>
    <w:rsid w:val="003C7FAC"/>
    <w:rsid w:val="003D6C43"/>
    <w:rsid w:val="003E10E7"/>
    <w:rsid w:val="003E7482"/>
    <w:rsid w:val="003F3179"/>
    <w:rsid w:val="003F5405"/>
    <w:rsid w:val="004029D6"/>
    <w:rsid w:val="0041773A"/>
    <w:rsid w:val="004229DD"/>
    <w:rsid w:val="00427004"/>
    <w:rsid w:val="00427763"/>
    <w:rsid w:val="00431E5F"/>
    <w:rsid w:val="004356CA"/>
    <w:rsid w:val="00445AEF"/>
    <w:rsid w:val="0044704D"/>
    <w:rsid w:val="0045492D"/>
    <w:rsid w:val="004566EC"/>
    <w:rsid w:val="00457898"/>
    <w:rsid w:val="00463909"/>
    <w:rsid w:val="00467D5F"/>
    <w:rsid w:val="0048120F"/>
    <w:rsid w:val="004834A7"/>
    <w:rsid w:val="00485CDE"/>
    <w:rsid w:val="004902F6"/>
    <w:rsid w:val="004A299C"/>
    <w:rsid w:val="004A54DE"/>
    <w:rsid w:val="004A6C5C"/>
    <w:rsid w:val="004B27E0"/>
    <w:rsid w:val="004B27EE"/>
    <w:rsid w:val="004B4AD2"/>
    <w:rsid w:val="004D2ACE"/>
    <w:rsid w:val="004D4C72"/>
    <w:rsid w:val="004D5FB9"/>
    <w:rsid w:val="004E18B0"/>
    <w:rsid w:val="00501111"/>
    <w:rsid w:val="0050364C"/>
    <w:rsid w:val="00517D23"/>
    <w:rsid w:val="00520E9A"/>
    <w:rsid w:val="00523203"/>
    <w:rsid w:val="00542294"/>
    <w:rsid w:val="00547E75"/>
    <w:rsid w:val="005522B9"/>
    <w:rsid w:val="0055493E"/>
    <w:rsid w:val="00555B16"/>
    <w:rsid w:val="00561F08"/>
    <w:rsid w:val="00565FDF"/>
    <w:rsid w:val="005874B4"/>
    <w:rsid w:val="005A3A6C"/>
    <w:rsid w:val="005A48F6"/>
    <w:rsid w:val="005D16E4"/>
    <w:rsid w:val="005D4C47"/>
    <w:rsid w:val="005D54DD"/>
    <w:rsid w:val="005D6A98"/>
    <w:rsid w:val="005F1D45"/>
    <w:rsid w:val="005F1EA5"/>
    <w:rsid w:val="005F56A6"/>
    <w:rsid w:val="00602026"/>
    <w:rsid w:val="00621497"/>
    <w:rsid w:val="006307C8"/>
    <w:rsid w:val="00633143"/>
    <w:rsid w:val="0064722F"/>
    <w:rsid w:val="00655D6C"/>
    <w:rsid w:val="006625DD"/>
    <w:rsid w:val="006650F3"/>
    <w:rsid w:val="0067148A"/>
    <w:rsid w:val="00672F0E"/>
    <w:rsid w:val="006745C9"/>
    <w:rsid w:val="00685175"/>
    <w:rsid w:val="00686ADF"/>
    <w:rsid w:val="00692722"/>
    <w:rsid w:val="006933A4"/>
    <w:rsid w:val="006A09A0"/>
    <w:rsid w:val="006A294C"/>
    <w:rsid w:val="006C073B"/>
    <w:rsid w:val="006C63EF"/>
    <w:rsid w:val="006D122B"/>
    <w:rsid w:val="006D32EA"/>
    <w:rsid w:val="006E52A6"/>
    <w:rsid w:val="006E5FB8"/>
    <w:rsid w:val="006F0B17"/>
    <w:rsid w:val="00710331"/>
    <w:rsid w:val="00710C3E"/>
    <w:rsid w:val="00717BFC"/>
    <w:rsid w:val="007215D5"/>
    <w:rsid w:val="007375DD"/>
    <w:rsid w:val="0073769C"/>
    <w:rsid w:val="007425BD"/>
    <w:rsid w:val="00751AEB"/>
    <w:rsid w:val="007640C3"/>
    <w:rsid w:val="00770E5C"/>
    <w:rsid w:val="00770FC6"/>
    <w:rsid w:val="00772BA8"/>
    <w:rsid w:val="00776087"/>
    <w:rsid w:val="0078487E"/>
    <w:rsid w:val="007855DD"/>
    <w:rsid w:val="00787C5C"/>
    <w:rsid w:val="00792917"/>
    <w:rsid w:val="00792C7E"/>
    <w:rsid w:val="007931A9"/>
    <w:rsid w:val="00793675"/>
    <w:rsid w:val="0079568A"/>
    <w:rsid w:val="007963E8"/>
    <w:rsid w:val="00797C32"/>
    <w:rsid w:val="007A0F24"/>
    <w:rsid w:val="007A36F0"/>
    <w:rsid w:val="007C549F"/>
    <w:rsid w:val="007C7968"/>
    <w:rsid w:val="007F2828"/>
    <w:rsid w:val="007F55E4"/>
    <w:rsid w:val="00811199"/>
    <w:rsid w:val="008147D7"/>
    <w:rsid w:val="0081740D"/>
    <w:rsid w:val="008448FF"/>
    <w:rsid w:val="00845C69"/>
    <w:rsid w:val="008503ED"/>
    <w:rsid w:val="00852419"/>
    <w:rsid w:val="0085289E"/>
    <w:rsid w:val="0086055D"/>
    <w:rsid w:val="00860DB6"/>
    <w:rsid w:val="00863E0F"/>
    <w:rsid w:val="00867F3E"/>
    <w:rsid w:val="00871C7E"/>
    <w:rsid w:val="00872336"/>
    <w:rsid w:val="008858F9"/>
    <w:rsid w:val="00891AE6"/>
    <w:rsid w:val="0089371A"/>
    <w:rsid w:val="008A0997"/>
    <w:rsid w:val="008A2A37"/>
    <w:rsid w:val="008A5104"/>
    <w:rsid w:val="008C2D21"/>
    <w:rsid w:val="008C41B8"/>
    <w:rsid w:val="008D12B8"/>
    <w:rsid w:val="008E1877"/>
    <w:rsid w:val="008E38DE"/>
    <w:rsid w:val="008F5F1E"/>
    <w:rsid w:val="009015B3"/>
    <w:rsid w:val="00911CB4"/>
    <w:rsid w:val="00922732"/>
    <w:rsid w:val="00936069"/>
    <w:rsid w:val="00936613"/>
    <w:rsid w:val="0093774A"/>
    <w:rsid w:val="00962C62"/>
    <w:rsid w:val="009834BB"/>
    <w:rsid w:val="009839DC"/>
    <w:rsid w:val="00986463"/>
    <w:rsid w:val="00995BAD"/>
    <w:rsid w:val="009A0145"/>
    <w:rsid w:val="009B5754"/>
    <w:rsid w:val="009D1A7D"/>
    <w:rsid w:val="009D3017"/>
    <w:rsid w:val="009D46E3"/>
    <w:rsid w:val="009D7720"/>
    <w:rsid w:val="009E05D2"/>
    <w:rsid w:val="009E18CE"/>
    <w:rsid w:val="009E3CF6"/>
    <w:rsid w:val="009F1D21"/>
    <w:rsid w:val="00A1331A"/>
    <w:rsid w:val="00A15DBD"/>
    <w:rsid w:val="00A2333D"/>
    <w:rsid w:val="00A423E0"/>
    <w:rsid w:val="00A446D2"/>
    <w:rsid w:val="00A579FF"/>
    <w:rsid w:val="00A67AA8"/>
    <w:rsid w:val="00A71BF1"/>
    <w:rsid w:val="00A764A2"/>
    <w:rsid w:val="00A7784E"/>
    <w:rsid w:val="00A905A0"/>
    <w:rsid w:val="00AA16F9"/>
    <w:rsid w:val="00AA393C"/>
    <w:rsid w:val="00AB2132"/>
    <w:rsid w:val="00AC24F0"/>
    <w:rsid w:val="00AC627D"/>
    <w:rsid w:val="00AE3775"/>
    <w:rsid w:val="00AF3C71"/>
    <w:rsid w:val="00B020F4"/>
    <w:rsid w:val="00B03EB7"/>
    <w:rsid w:val="00B042E3"/>
    <w:rsid w:val="00B16C35"/>
    <w:rsid w:val="00B20826"/>
    <w:rsid w:val="00B22528"/>
    <w:rsid w:val="00B22EA1"/>
    <w:rsid w:val="00B2486D"/>
    <w:rsid w:val="00B44C5A"/>
    <w:rsid w:val="00B46F91"/>
    <w:rsid w:val="00B473D5"/>
    <w:rsid w:val="00B50610"/>
    <w:rsid w:val="00B51427"/>
    <w:rsid w:val="00B55F90"/>
    <w:rsid w:val="00B640A7"/>
    <w:rsid w:val="00B7055E"/>
    <w:rsid w:val="00B8504E"/>
    <w:rsid w:val="00B86B3E"/>
    <w:rsid w:val="00B86FF5"/>
    <w:rsid w:val="00B87093"/>
    <w:rsid w:val="00B958D5"/>
    <w:rsid w:val="00B95BE5"/>
    <w:rsid w:val="00BA6F48"/>
    <w:rsid w:val="00BB4AEE"/>
    <w:rsid w:val="00BC3A27"/>
    <w:rsid w:val="00BC5D55"/>
    <w:rsid w:val="00BD5C45"/>
    <w:rsid w:val="00BD717B"/>
    <w:rsid w:val="00BE1D83"/>
    <w:rsid w:val="00BE6370"/>
    <w:rsid w:val="00BE7FE7"/>
    <w:rsid w:val="00BF0DA4"/>
    <w:rsid w:val="00BF268E"/>
    <w:rsid w:val="00C01E80"/>
    <w:rsid w:val="00C043AD"/>
    <w:rsid w:val="00C0581F"/>
    <w:rsid w:val="00C065DF"/>
    <w:rsid w:val="00C114AE"/>
    <w:rsid w:val="00C16467"/>
    <w:rsid w:val="00C2232D"/>
    <w:rsid w:val="00C22F83"/>
    <w:rsid w:val="00C24305"/>
    <w:rsid w:val="00C360AA"/>
    <w:rsid w:val="00C37427"/>
    <w:rsid w:val="00C442AA"/>
    <w:rsid w:val="00C51DE1"/>
    <w:rsid w:val="00C562EC"/>
    <w:rsid w:val="00C56A28"/>
    <w:rsid w:val="00C6309F"/>
    <w:rsid w:val="00C7049D"/>
    <w:rsid w:val="00C74D37"/>
    <w:rsid w:val="00C75E3B"/>
    <w:rsid w:val="00CB6CFD"/>
    <w:rsid w:val="00CC3320"/>
    <w:rsid w:val="00CC4642"/>
    <w:rsid w:val="00CC4C51"/>
    <w:rsid w:val="00CD100B"/>
    <w:rsid w:val="00CD49F1"/>
    <w:rsid w:val="00CE5AA5"/>
    <w:rsid w:val="00CF71DC"/>
    <w:rsid w:val="00D0276D"/>
    <w:rsid w:val="00D07084"/>
    <w:rsid w:val="00D07FC5"/>
    <w:rsid w:val="00D22258"/>
    <w:rsid w:val="00D3466E"/>
    <w:rsid w:val="00D34814"/>
    <w:rsid w:val="00D46048"/>
    <w:rsid w:val="00D509B2"/>
    <w:rsid w:val="00D51939"/>
    <w:rsid w:val="00D51A92"/>
    <w:rsid w:val="00D544A0"/>
    <w:rsid w:val="00D622DB"/>
    <w:rsid w:val="00D627EE"/>
    <w:rsid w:val="00D73A37"/>
    <w:rsid w:val="00D73C7D"/>
    <w:rsid w:val="00D87855"/>
    <w:rsid w:val="00D901BD"/>
    <w:rsid w:val="00D927B7"/>
    <w:rsid w:val="00D96683"/>
    <w:rsid w:val="00DA1138"/>
    <w:rsid w:val="00DA204A"/>
    <w:rsid w:val="00DA3065"/>
    <w:rsid w:val="00DA37E2"/>
    <w:rsid w:val="00DA4187"/>
    <w:rsid w:val="00DA7434"/>
    <w:rsid w:val="00DA7E23"/>
    <w:rsid w:val="00DB5AB2"/>
    <w:rsid w:val="00DD2837"/>
    <w:rsid w:val="00DE31A6"/>
    <w:rsid w:val="00E0544A"/>
    <w:rsid w:val="00E10B43"/>
    <w:rsid w:val="00E248ED"/>
    <w:rsid w:val="00E3600F"/>
    <w:rsid w:val="00E37505"/>
    <w:rsid w:val="00E4021D"/>
    <w:rsid w:val="00E41E3D"/>
    <w:rsid w:val="00E448F1"/>
    <w:rsid w:val="00E45B3E"/>
    <w:rsid w:val="00E53A43"/>
    <w:rsid w:val="00E53CA3"/>
    <w:rsid w:val="00E60DCB"/>
    <w:rsid w:val="00E65A04"/>
    <w:rsid w:val="00E71D95"/>
    <w:rsid w:val="00E76CF9"/>
    <w:rsid w:val="00E81D15"/>
    <w:rsid w:val="00E867F8"/>
    <w:rsid w:val="00EC28A7"/>
    <w:rsid w:val="00ED2062"/>
    <w:rsid w:val="00ED576D"/>
    <w:rsid w:val="00EE137B"/>
    <w:rsid w:val="00EE3761"/>
    <w:rsid w:val="00F07BE1"/>
    <w:rsid w:val="00F20F31"/>
    <w:rsid w:val="00F20F6F"/>
    <w:rsid w:val="00F2183D"/>
    <w:rsid w:val="00F30107"/>
    <w:rsid w:val="00F32EC5"/>
    <w:rsid w:val="00F3384D"/>
    <w:rsid w:val="00F4242F"/>
    <w:rsid w:val="00F47433"/>
    <w:rsid w:val="00F501C5"/>
    <w:rsid w:val="00F51BA4"/>
    <w:rsid w:val="00F549AE"/>
    <w:rsid w:val="00F7268B"/>
    <w:rsid w:val="00F758D0"/>
    <w:rsid w:val="00F809B4"/>
    <w:rsid w:val="00F810B3"/>
    <w:rsid w:val="00F83DCE"/>
    <w:rsid w:val="00F90837"/>
    <w:rsid w:val="00F922CE"/>
    <w:rsid w:val="00F97859"/>
    <w:rsid w:val="00FA1AB4"/>
    <w:rsid w:val="00FA58AC"/>
    <w:rsid w:val="00FB54DA"/>
    <w:rsid w:val="00FC5119"/>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E867F8"/>
    <w:pPr>
      <w:numPr>
        <w:numId w:val="2"/>
      </w:numPr>
      <w:spacing w:after="20" w:line="200" w:lineRule="exact"/>
      <w:ind w:left="260" w:right="27" w:hanging="264"/>
    </w:pPr>
    <w:rPr>
      <w:i/>
      <w:sz w:val="18"/>
      <w:szCs w:val="18"/>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284E58"/>
    <w:pPr>
      <w:numPr>
        <w:numId w:val="3"/>
      </w:numPr>
      <w:ind w:left="258" w:hanging="240"/>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E867F8"/>
    <w:pPr>
      <w:spacing w:before="80" w:after="40" w:line="200" w:lineRule="exact"/>
    </w:pPr>
    <w:rPr>
      <w:b/>
      <w:sz w:val="18"/>
      <w:szCs w:val="18"/>
      <w:lang w:bidi="en-US"/>
    </w:rPr>
  </w:style>
  <w:style w:type="paragraph" w:customStyle="1" w:styleId="Bulletlast">
    <w:name w:val="Bullet last"/>
    <w:basedOn w:val="Bullet"/>
    <w:qFormat/>
    <w:rsid w:val="00086E84"/>
    <w:p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E867F8"/>
    <w:pPr>
      <w:spacing w:before="40"/>
      <w:ind w:left="8"/>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 w:type="paragraph" w:customStyle="1" w:styleId="Bullet3">
    <w:name w:val="Bullet 3"/>
    <w:basedOn w:val="Bullet2"/>
    <w:qFormat/>
    <w:rsid w:val="00077858"/>
    <w:pPr>
      <w:numPr>
        <w:ilvl w:val="1"/>
        <w:numId w:val="4"/>
      </w:numPr>
      <w:ind w:left="1076" w:hanging="240"/>
    </w:pPr>
  </w:style>
  <w:style w:type="paragraph" w:customStyle="1" w:styleId="Bullet2elaboration">
    <w:name w:val="Bullet 2 elaboration"/>
    <w:basedOn w:val="Bullet"/>
    <w:qFormat/>
    <w:rsid w:val="000B47F2"/>
    <w:pPr>
      <w:numPr>
        <w:ilvl w:val="1"/>
      </w:numPr>
      <w:ind w:left="567" w:hanging="276"/>
    </w:pPr>
  </w:style>
  <w:style w:type="character" w:styleId="Emphasis">
    <w:name w:val="Emphasis"/>
    <w:basedOn w:val="DefaultParagraphFont"/>
    <w:uiPriority w:val="20"/>
    <w:qFormat/>
    <w:rsid w:val="004B27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printerSettings" Target="printerSettings/printerSettings3.bin"/><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3.xml"/><Relationship Id="rId12" Type="http://schemas.openxmlformats.org/officeDocument/2006/relationships/printerSettings" Target="printerSettings/printerSettings1.bin"/><Relationship Id="rId13" Type="http://schemas.openxmlformats.org/officeDocument/2006/relationships/image" Target="media/image3.emf"/><Relationship Id="rId14" Type="http://schemas.openxmlformats.org/officeDocument/2006/relationships/image" Target="media/image4.png"/><Relationship Id="rId15" Type="http://schemas.openxmlformats.org/officeDocument/2006/relationships/printerSettings" Target="printerSettings/printerSettings2.bin"/><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2.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565A42-2768-0F40-846C-39FD844E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8</Pages>
  <Words>3909</Words>
  <Characters>23493</Characters>
  <Application>Microsoft Macintosh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27348</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152</cp:revision>
  <cp:lastPrinted>2019-12-12T22:36:00Z</cp:lastPrinted>
  <dcterms:created xsi:type="dcterms:W3CDTF">2017-07-12T21:32:00Z</dcterms:created>
  <dcterms:modified xsi:type="dcterms:W3CDTF">2019-12-12T22:36:00Z</dcterms:modified>
</cp:coreProperties>
</file>