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3FB24033" w:rsidR="0014420D" w:rsidRPr="00DE4554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DE4554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554">
        <w:rPr>
          <w:b/>
          <w:sz w:val="28"/>
        </w:rPr>
        <w:t xml:space="preserve">Area of Learning: </w:t>
      </w:r>
      <w:r w:rsidR="00CC39FB" w:rsidRPr="00DE4554">
        <w:rPr>
          <w:b/>
          <w:sz w:val="28"/>
        </w:rPr>
        <w:t>CAREER</w:t>
      </w:r>
      <w:r w:rsidR="007E6F8A" w:rsidRPr="00DE4554">
        <w:rPr>
          <w:b/>
          <w:sz w:val="28"/>
        </w:rPr>
        <w:t>-</w:t>
      </w:r>
      <w:r w:rsidR="00CC39FB" w:rsidRPr="00DE4554">
        <w:rPr>
          <w:b/>
          <w:sz w:val="28"/>
        </w:rPr>
        <w:t xml:space="preserve">LIFE </w:t>
      </w:r>
      <w:r w:rsidR="00E56EC8" w:rsidRPr="00DE4554">
        <w:rPr>
          <w:b/>
          <w:sz w:val="28"/>
        </w:rPr>
        <w:t>CONNECTIONS</w:t>
      </w:r>
      <w:r w:rsidRPr="00DE4554">
        <w:rPr>
          <w:b/>
          <w:sz w:val="28"/>
        </w:rPr>
        <w:tab/>
      </w:r>
    </w:p>
    <w:p w14:paraId="2E070600" w14:textId="77777777" w:rsidR="0014420D" w:rsidRPr="00DE4554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DE4554">
        <w:rPr>
          <w:b/>
          <w:sz w:val="28"/>
        </w:rPr>
        <w:tab/>
      </w:r>
    </w:p>
    <w:p w14:paraId="1F219315" w14:textId="77777777" w:rsidR="00670E49" w:rsidRPr="00DE4554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DE455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3040"/>
        <w:gridCol w:w="236"/>
        <w:gridCol w:w="2880"/>
        <w:gridCol w:w="236"/>
        <w:gridCol w:w="1940"/>
        <w:gridCol w:w="240"/>
        <w:gridCol w:w="2680"/>
      </w:tblGrid>
      <w:tr w:rsidR="00CC39FB" w:rsidRPr="00DE4554" w14:paraId="292FF7E5" w14:textId="77777777" w:rsidTr="00E56EC8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4EC1FA3" w:rsidR="00670E49" w:rsidRPr="00DE4554" w:rsidRDefault="00E56EC8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b/>
                <w:szCs w:val="20"/>
              </w:rPr>
              <w:t>Career-life development</w:t>
            </w:r>
            <w:r w:rsidRPr="00DE4554">
              <w:rPr>
                <w:szCs w:val="20"/>
              </w:rPr>
              <w:t xml:space="preserve"> includes ongoing cycles of exploring, planning, reflecting, adapting, and deciding.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195F4C37" w:rsidR="00670E49" w:rsidRPr="00DE4554" w:rsidRDefault="00E56EC8" w:rsidP="00627D2F">
            <w:pPr>
              <w:pStyle w:val="Tablestyle1"/>
              <w:rPr>
                <w:rFonts w:cs="Arial"/>
                <w:lang w:val="en-GB"/>
              </w:rPr>
            </w:pPr>
            <w:r w:rsidRPr="00DE4554">
              <w:rPr>
                <w:b/>
                <w:szCs w:val="20"/>
              </w:rPr>
              <w:t>Career-life decisions</w:t>
            </w:r>
            <w:r w:rsidRPr="00DE4554">
              <w:rPr>
                <w:szCs w:val="20"/>
              </w:rPr>
              <w:t xml:space="preserve"> influence and are influenced by </w:t>
            </w:r>
            <w:r w:rsidRPr="00DE4554">
              <w:rPr>
                <w:b/>
                <w:szCs w:val="20"/>
              </w:rPr>
              <w:t>internal and external factors</w:t>
            </w:r>
            <w:r w:rsidRPr="00DE4554">
              <w:rPr>
                <w:szCs w:val="20"/>
              </w:rPr>
              <w:t xml:space="preserve">, including </w:t>
            </w:r>
            <w:r w:rsidRPr="00DE4554">
              <w:rPr>
                <w:b/>
                <w:szCs w:val="20"/>
              </w:rPr>
              <w:t>local and global trends</w:t>
            </w:r>
            <w:r w:rsidRPr="00DE4554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7D8E4224" w:rsidR="00670E49" w:rsidRPr="00DE4554" w:rsidRDefault="00E56EC8" w:rsidP="00E56EC8">
            <w:pPr>
              <w:pStyle w:val="Tablestyle1"/>
              <w:rPr>
                <w:rFonts w:cs="Arial"/>
                <w:lang w:val="en-GB"/>
              </w:rPr>
            </w:pP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Engaging in networks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and 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reciprocal relationships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can guide and broaden career-life awareness and options.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F20CDDE" w:rsidR="00670E49" w:rsidRPr="00DE4554" w:rsidRDefault="00E56EC8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rFonts w:ascii="Helvetica" w:hAnsi="Helvetica" w:cstheme="minorHAnsi"/>
                <w:szCs w:val="20"/>
                <w:lang w:val="en-CA"/>
              </w:rPr>
              <w:t>A sense of purpose and career-life balance support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 xml:space="preserve"> well-being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DE4554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09BB40F7" w:rsidR="00670E49" w:rsidRPr="00DE4554" w:rsidRDefault="00E56EC8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Lifelong learning and active citizenship foster </w:t>
            </w:r>
            <w:r w:rsidRPr="00DE4554">
              <w:rPr>
                <w:rFonts w:ascii="Helvetica" w:hAnsi="Helvetica" w:cstheme="minorHAnsi"/>
                <w:b/>
                <w:szCs w:val="20"/>
                <w:lang w:val="en-CA"/>
              </w:rPr>
              <w:t>career-life opportunities</w:t>
            </w:r>
            <w:r w:rsidRPr="00DE4554">
              <w:rPr>
                <w:rFonts w:ascii="Helvetica" w:hAnsi="Helvetica" w:cstheme="minorHAnsi"/>
                <w:szCs w:val="20"/>
                <w:lang w:val="en-CA"/>
              </w:rPr>
              <w:t xml:space="preserve"> for people and communities.</w:t>
            </w:r>
          </w:p>
        </w:tc>
      </w:tr>
    </w:tbl>
    <w:p w14:paraId="3045E821" w14:textId="77777777" w:rsidR="00670E49" w:rsidRPr="00DE4554" w:rsidRDefault="00670E49" w:rsidP="00627D2F">
      <w:pPr>
        <w:rPr>
          <w:sz w:val="16"/>
          <w:szCs w:val="16"/>
        </w:rPr>
      </w:pPr>
    </w:p>
    <w:p w14:paraId="6513D803" w14:textId="77777777" w:rsidR="00F9586F" w:rsidRPr="00DE4554" w:rsidRDefault="0059376F" w:rsidP="00627D2F">
      <w:pPr>
        <w:spacing w:after="160"/>
        <w:jc w:val="center"/>
        <w:outlineLvl w:val="0"/>
        <w:rPr>
          <w:sz w:val="28"/>
        </w:rPr>
      </w:pPr>
      <w:r w:rsidRPr="00DE455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CC39FB" w:rsidRPr="00DE4554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E4554" w:rsidRDefault="0059376F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E4554" w:rsidRDefault="0059376F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DE4554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DE455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E455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DF8ACF9" w:rsidR="00670E49" w:rsidRPr="00DE4554" w:rsidRDefault="00CC39FB" w:rsidP="00627D2F">
            <w:pPr>
              <w:pStyle w:val="Topic"/>
              <w:contextualSpacing w:val="0"/>
            </w:pPr>
            <w:r w:rsidRPr="00DE4554">
              <w:t>Examine</w:t>
            </w:r>
          </w:p>
          <w:p w14:paraId="5EB223B3" w14:textId="18CA3B3A" w:rsidR="00E56EC8" w:rsidRPr="00DE4554" w:rsidRDefault="00E56EC8" w:rsidP="00E56EC8">
            <w:pPr>
              <w:pStyle w:val="ListParagraph"/>
            </w:pPr>
            <w:r w:rsidRPr="00DE4554">
              <w:t xml:space="preserve">Recognize personal </w:t>
            </w:r>
            <w:r w:rsidRPr="00DE4554">
              <w:rPr>
                <w:b/>
              </w:rPr>
              <w:t xml:space="preserve">worldviews </w:t>
            </w:r>
            <w:r w:rsidRPr="00DE4554">
              <w:t xml:space="preserve">and </w:t>
            </w:r>
            <w:r w:rsidRPr="00DE4554">
              <w:rPr>
                <w:b/>
              </w:rPr>
              <w:t>perspectives</w:t>
            </w:r>
            <w:r w:rsidRPr="00DE4554">
              <w:t xml:space="preserve">, and consider their </w:t>
            </w:r>
            <w:r w:rsidR="00AD4E6E" w:rsidRPr="00DE4554">
              <w:br/>
            </w:r>
            <w:r w:rsidRPr="00DE4554">
              <w:t>influence on values, actions, and preferred futures</w:t>
            </w:r>
          </w:p>
          <w:p w14:paraId="7310679C" w14:textId="214EE648" w:rsidR="00E56EC8" w:rsidRPr="00DE4554" w:rsidRDefault="00E56EC8" w:rsidP="00E56EC8">
            <w:pPr>
              <w:pStyle w:val="ListParagraph"/>
              <w:rPr>
                <w:lang w:bidi="en-US"/>
              </w:rPr>
            </w:pPr>
            <w:r w:rsidRPr="00DE4554">
              <w:t xml:space="preserve">Analyze internal and external factors to inform personal </w:t>
            </w:r>
            <w:r w:rsidRPr="00DE4554">
              <w:rPr>
                <w:b/>
              </w:rPr>
              <w:t>career-life choices</w:t>
            </w:r>
            <w:r w:rsidRPr="00DE4554">
              <w:t xml:space="preserve"> </w:t>
            </w:r>
            <w:r w:rsidR="00AD4E6E" w:rsidRPr="00DE4554">
              <w:br/>
            </w:r>
            <w:r w:rsidRPr="00DE4554">
              <w:t>for post-graduation planning</w:t>
            </w:r>
          </w:p>
          <w:p w14:paraId="5763C6DA" w14:textId="77777777" w:rsidR="00E56EC8" w:rsidRPr="00DE4554" w:rsidRDefault="00E56EC8" w:rsidP="00E56EC8">
            <w:pPr>
              <w:pStyle w:val="ListParagraph"/>
              <w:rPr>
                <w:i/>
              </w:rPr>
            </w:pPr>
            <w:r w:rsidRPr="00DE4554">
              <w:t>Assess personal transferable skills, and identify strengths and those skills that require further refinement</w:t>
            </w:r>
          </w:p>
          <w:p w14:paraId="106705A7" w14:textId="6AE52191" w:rsidR="00F9586F" w:rsidRPr="00DE4554" w:rsidRDefault="00E56EC8" w:rsidP="00E56EC8">
            <w:pPr>
              <w:pStyle w:val="ListParagraph"/>
            </w:pPr>
            <w:r w:rsidRPr="00DE4554">
              <w:rPr>
                <w:rFonts w:eastAsiaTheme="majorEastAsia"/>
              </w:rPr>
              <w:t xml:space="preserve">Explore and evaluate personal strategies, including social, physical, and </w:t>
            </w:r>
            <w:r w:rsidR="00AD4E6E" w:rsidRPr="00DE4554">
              <w:rPr>
                <w:rFonts w:eastAsiaTheme="majorEastAsia"/>
              </w:rPr>
              <w:br/>
            </w:r>
            <w:r w:rsidRPr="00DE4554">
              <w:rPr>
                <w:rFonts w:eastAsiaTheme="majorEastAsia"/>
              </w:rPr>
              <w:t>financial, to maintain well-being</w:t>
            </w:r>
          </w:p>
          <w:p w14:paraId="5B509B2D" w14:textId="312C11A5" w:rsidR="00670E49" w:rsidRPr="00DE4554" w:rsidRDefault="00CC39FB" w:rsidP="00627D2F">
            <w:pPr>
              <w:pStyle w:val="Topic"/>
              <w:contextualSpacing w:val="0"/>
            </w:pPr>
            <w:r w:rsidRPr="00DE4554">
              <w:t>Interact</w:t>
            </w:r>
          </w:p>
          <w:p w14:paraId="2377AFA7" w14:textId="77777777" w:rsidR="002F0088" w:rsidRPr="00DE4554" w:rsidRDefault="002F0088" w:rsidP="002F0088">
            <w:pPr>
              <w:pStyle w:val="ListParagraph"/>
            </w:pPr>
            <w:r w:rsidRPr="00DE4554">
              <w:t xml:space="preserve">Collaborate with a </w:t>
            </w:r>
            <w:r w:rsidRPr="00DE4554">
              <w:rPr>
                <w:b/>
              </w:rPr>
              <w:t>mentor</w:t>
            </w:r>
            <w:r w:rsidRPr="00DE4554">
              <w:t xml:space="preserve"> to inform career-life development and exploration</w:t>
            </w:r>
          </w:p>
          <w:p w14:paraId="419A67E5" w14:textId="734599AE" w:rsidR="002F0088" w:rsidRPr="00DE4554" w:rsidRDefault="002F0088" w:rsidP="002F0088">
            <w:pPr>
              <w:pStyle w:val="ListParagraph"/>
            </w:pPr>
            <w:r w:rsidRPr="00DE4554">
              <w:t xml:space="preserve">Engage with personal, education, and employment networks to cultivate </w:t>
            </w:r>
            <w:r w:rsidR="00AD4E6E" w:rsidRPr="00DE4554">
              <w:br/>
            </w:r>
            <w:r w:rsidRPr="00DE4554">
              <w:rPr>
                <w:b/>
              </w:rPr>
              <w:t>post-graduation</w:t>
            </w:r>
            <w:r w:rsidRPr="00DE4554">
              <w:t xml:space="preserve"> </w:t>
            </w:r>
            <w:r w:rsidRPr="00DE4554">
              <w:rPr>
                <w:b/>
              </w:rPr>
              <w:t>resources</w:t>
            </w:r>
            <w:r w:rsidRPr="00DE4554">
              <w:t xml:space="preserve"> and social capital</w:t>
            </w:r>
          </w:p>
          <w:p w14:paraId="5B9087F1" w14:textId="50259887" w:rsidR="002F0088" w:rsidRPr="00DE4554" w:rsidRDefault="002F0088" w:rsidP="002F0088">
            <w:pPr>
              <w:pStyle w:val="ListParagraph"/>
            </w:pPr>
            <w:r w:rsidRPr="00DE4554">
              <w:t xml:space="preserve">Create and critique personal and public profiles for self-advocacy and </w:t>
            </w:r>
            <w:r w:rsidR="00AD4E6E" w:rsidRPr="00DE4554">
              <w:br/>
            </w:r>
            <w:r w:rsidRPr="00DE4554">
              <w:t>marketing purposes</w:t>
            </w:r>
          </w:p>
          <w:p w14:paraId="61D86295" w14:textId="106590C4" w:rsidR="00CC39FB" w:rsidRPr="00DE4554" w:rsidRDefault="002F0088" w:rsidP="00AD4E6E">
            <w:pPr>
              <w:pStyle w:val="ListParagraph"/>
              <w:spacing w:after="120"/>
            </w:pPr>
            <w:r w:rsidRPr="00DE4554">
              <w:t xml:space="preserve">Demonstrate and reflect on inclusive, respectful, and safe interactions in </w:t>
            </w:r>
            <w:r w:rsidR="00AD4E6E" w:rsidRPr="00DE4554">
              <w:br/>
            </w:r>
            <w:r w:rsidRPr="00DE4554">
              <w:t xml:space="preserve">multiple </w:t>
            </w:r>
            <w:r w:rsidRPr="00DE4554">
              <w:rPr>
                <w:b/>
              </w:rPr>
              <w:t>career-life contexts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DE455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DE455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1885920" w14:textId="7724E53C" w:rsidR="00CC39FB" w:rsidRPr="00DE4554" w:rsidRDefault="00F202BD" w:rsidP="00CC39FB">
            <w:pPr>
              <w:pStyle w:val="Topic"/>
              <w:contextualSpacing w:val="0"/>
            </w:pPr>
            <w:r w:rsidRPr="00DE4554">
              <w:t>Personal c</w:t>
            </w:r>
            <w:r w:rsidR="00CC39FB" w:rsidRPr="00DE4554">
              <w:t>areer-life development</w:t>
            </w:r>
          </w:p>
          <w:p w14:paraId="26EA685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mentorship opportunities</w:t>
            </w:r>
          </w:p>
          <w:p w14:paraId="611510B0" w14:textId="5C0780F0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competencies</w:t>
            </w:r>
            <w:r w:rsidRPr="00DE4554">
              <w:t xml:space="preserve"> of the educated citizen</w:t>
            </w:r>
          </w:p>
          <w:p w14:paraId="002E0A1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self-advocacy</w:t>
            </w:r>
            <w:r w:rsidRPr="00DE4554">
              <w:t xml:space="preserve"> </w:t>
            </w:r>
            <w:r w:rsidRPr="00DE4554">
              <w:rPr>
                <w:b/>
              </w:rPr>
              <w:t>strategies</w:t>
            </w:r>
            <w:r w:rsidRPr="00DE4554">
              <w:t xml:space="preserve"> </w:t>
            </w:r>
          </w:p>
          <w:p w14:paraId="01456874" w14:textId="13DC014E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factors</w:t>
            </w:r>
            <w:r w:rsidRPr="00DE4554">
              <w:t xml:space="preserve"> that shape personal identity and inform </w:t>
            </w:r>
            <w:r w:rsidR="00715F98" w:rsidRPr="00DE4554">
              <w:br/>
            </w:r>
            <w:r w:rsidRPr="00DE4554">
              <w:t>career-life choices</w:t>
            </w:r>
          </w:p>
          <w:p w14:paraId="5EC4CCAF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t>strategies for personal well-being and work-life balance</w:t>
            </w:r>
          </w:p>
          <w:p w14:paraId="3EED33AC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reflection</w:t>
            </w:r>
            <w:r w:rsidRPr="00DE4554">
              <w:t xml:space="preserve"> strategies</w:t>
            </w:r>
          </w:p>
          <w:p w14:paraId="2CE42155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employment marketing</w:t>
            </w:r>
            <w:r w:rsidRPr="00DE4554">
              <w:t xml:space="preserve"> strategies</w:t>
            </w:r>
          </w:p>
          <w:p w14:paraId="218ED84B" w14:textId="46DF772C" w:rsidR="007904B5" w:rsidRPr="00DE4554" w:rsidRDefault="00F202BD" w:rsidP="00F202BD">
            <w:pPr>
              <w:pStyle w:val="ListParagraph"/>
            </w:pPr>
            <w:r w:rsidRPr="00DE4554">
              <w:t xml:space="preserve">rights and regulations in the workplace, including </w:t>
            </w:r>
            <w:r w:rsidRPr="00DE4554">
              <w:rPr>
                <w:b/>
              </w:rPr>
              <w:t>safety</w:t>
            </w:r>
          </w:p>
          <w:p w14:paraId="000C8A25" w14:textId="0142E3BF" w:rsidR="00CC39FB" w:rsidRPr="00DE4554" w:rsidRDefault="00CC39FB" w:rsidP="00CC39FB">
            <w:pPr>
              <w:pStyle w:val="Topic"/>
              <w:contextualSpacing w:val="0"/>
            </w:pPr>
            <w:r w:rsidRPr="00DE4554">
              <w:t>Connections with community</w:t>
            </w:r>
          </w:p>
          <w:p w14:paraId="45CA4442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social capital</w:t>
            </w:r>
            <w:r w:rsidRPr="00DE4554">
              <w:t xml:space="preserve"> and transferrable skills, including </w:t>
            </w:r>
            <w:r w:rsidRPr="00DE4554">
              <w:rPr>
                <w:b/>
              </w:rPr>
              <w:t>intercultural</w:t>
            </w:r>
            <w:r w:rsidRPr="00DE4554">
              <w:t>, leadership, and collaboration skills</w:t>
            </w:r>
          </w:p>
          <w:p w14:paraId="7BA97BDA" w14:textId="77777777" w:rsidR="00F202BD" w:rsidRPr="00DE4554" w:rsidRDefault="00F202BD" w:rsidP="00F202BD">
            <w:pPr>
              <w:pStyle w:val="ListParagraph"/>
            </w:pPr>
            <w:r w:rsidRPr="00DE4554">
              <w:t>career-life exploration</w:t>
            </w:r>
          </w:p>
          <w:p w14:paraId="03C90176" w14:textId="49646903" w:rsidR="00CC39FB" w:rsidRPr="00DE4554" w:rsidRDefault="00F202BD" w:rsidP="00AD4E6E">
            <w:pPr>
              <w:pStyle w:val="ListParagraph"/>
              <w:spacing w:after="120"/>
            </w:pPr>
            <w:r w:rsidRPr="00DE4554">
              <w:t xml:space="preserve">ways to represent themselves, including consideration </w:t>
            </w:r>
            <w:r w:rsidR="007351A6" w:rsidRPr="00DE4554">
              <w:br/>
            </w:r>
            <w:r w:rsidRPr="00DE4554">
              <w:t xml:space="preserve">of </w:t>
            </w:r>
            <w:r w:rsidRPr="00DE4554">
              <w:rPr>
                <w:b/>
              </w:rPr>
              <w:t>personal and public profiles</w:t>
            </w:r>
            <w:r w:rsidRPr="00DE4554">
              <w:t xml:space="preserve">, digital literacy, </w:t>
            </w:r>
            <w:r w:rsidR="007351A6" w:rsidRPr="00DE4554">
              <w:br/>
            </w:r>
            <w:r w:rsidRPr="00DE4554">
              <w:t>and citizenship</w:t>
            </w:r>
          </w:p>
        </w:tc>
      </w:tr>
    </w:tbl>
    <w:p w14:paraId="4419F9AA" w14:textId="34C9A501" w:rsidR="0018557D" w:rsidRPr="00DE4554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E4554">
        <w:br w:type="page"/>
      </w:r>
      <w:r w:rsidRPr="00DE4554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DE4554">
        <w:rPr>
          <w:b/>
          <w:sz w:val="28"/>
        </w:rPr>
        <w:t>A</w:t>
      </w:r>
      <w:r w:rsidR="00CC39FB" w:rsidRPr="00DE4554">
        <w:rPr>
          <w:b/>
          <w:sz w:val="28"/>
        </w:rPr>
        <w:t>rea of Learning: CAREER</w:t>
      </w:r>
      <w:r w:rsidR="007E6F8A" w:rsidRPr="00DE4554">
        <w:rPr>
          <w:b/>
          <w:sz w:val="28"/>
        </w:rPr>
        <w:t>-</w:t>
      </w:r>
      <w:r w:rsidR="00CC39FB" w:rsidRPr="00DE4554">
        <w:rPr>
          <w:b/>
          <w:sz w:val="28"/>
        </w:rPr>
        <w:t xml:space="preserve">LIFE </w:t>
      </w:r>
      <w:r w:rsidR="00E56EC8" w:rsidRPr="00DE4554">
        <w:rPr>
          <w:b/>
          <w:sz w:val="28"/>
        </w:rPr>
        <w:t>CONNECTIONS</w:t>
      </w:r>
      <w:r w:rsidRPr="00DE4554">
        <w:rPr>
          <w:b/>
          <w:sz w:val="28"/>
        </w:rPr>
        <w:tab/>
      </w:r>
    </w:p>
    <w:p w14:paraId="338BD436" w14:textId="77777777" w:rsidR="0018557D" w:rsidRPr="00DE4554" w:rsidRDefault="0018557D" w:rsidP="00627D2F">
      <w:pPr>
        <w:rPr>
          <w:rFonts w:ascii="Arial" w:hAnsi="Arial"/>
          <w:b/>
        </w:rPr>
      </w:pPr>
      <w:r w:rsidRPr="00DE4554">
        <w:rPr>
          <w:b/>
          <w:sz w:val="28"/>
        </w:rPr>
        <w:tab/>
      </w:r>
    </w:p>
    <w:p w14:paraId="1658F336" w14:textId="77777777" w:rsidR="0018557D" w:rsidRPr="00DE4554" w:rsidRDefault="0018557D" w:rsidP="00627D2F">
      <w:pPr>
        <w:spacing w:after="160"/>
        <w:jc w:val="center"/>
        <w:outlineLvl w:val="0"/>
        <w:rPr>
          <w:sz w:val="28"/>
        </w:rPr>
      </w:pPr>
      <w:r w:rsidRPr="00DE455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CC39FB" w:rsidRPr="00DE4554" w14:paraId="2E2B08E1" w14:textId="77777777" w:rsidTr="00CC39FB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E4554" w:rsidRDefault="0018557D" w:rsidP="00627D2F">
            <w:pPr>
              <w:spacing w:before="60" w:after="60"/>
              <w:rPr>
                <w:b/>
                <w:szCs w:val="22"/>
              </w:rPr>
            </w:pPr>
            <w:r w:rsidRPr="00DE4554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E4554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DE4554">
              <w:rPr>
                <w:b/>
                <w:color w:val="FFFFFF"/>
                <w:szCs w:val="22"/>
              </w:rPr>
              <w:t>Content</w:t>
            </w:r>
          </w:p>
        </w:tc>
      </w:tr>
      <w:tr w:rsidR="00CC39FB" w:rsidRPr="00DE4554" w14:paraId="522264D9" w14:textId="77777777" w:rsidTr="00CC39FB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2253C7" w14:textId="77777777" w:rsidR="00F202BD" w:rsidRPr="00DE4554" w:rsidRDefault="00F202BD" w:rsidP="00F202BD">
            <w:pPr>
              <w:pStyle w:val="Topic"/>
              <w:contextualSpacing w:val="0"/>
            </w:pPr>
            <w:r w:rsidRPr="00DE4554">
              <w:t>Experience</w:t>
            </w:r>
          </w:p>
          <w:p w14:paraId="15F4E797" w14:textId="77777777" w:rsidR="00F202BD" w:rsidRPr="00DE4554" w:rsidRDefault="00F202BD" w:rsidP="00F202BD">
            <w:pPr>
              <w:pStyle w:val="ListParagraph"/>
              <w:rPr>
                <w:lang w:bidi="en-US"/>
              </w:rPr>
            </w:pPr>
            <w:r w:rsidRPr="00DE4554">
              <w:rPr>
                <w:rFonts w:eastAsiaTheme="majorEastAsia"/>
                <w:lang w:bidi="en-US"/>
              </w:rPr>
              <w:t>Explore possibilities for preferred personal and education/employment futures, using creative and innovative thinking</w:t>
            </w:r>
          </w:p>
          <w:p w14:paraId="6F654DB7" w14:textId="77777777" w:rsidR="00F202BD" w:rsidRPr="00DE4554" w:rsidRDefault="00F202BD" w:rsidP="00F202BD">
            <w:pPr>
              <w:pStyle w:val="ListParagraph"/>
            </w:pPr>
            <w:r w:rsidRPr="00DE4554">
              <w:t xml:space="preserve">Identify and apply preferred approaches to learning for ongoing career-life development and self-advocacy </w:t>
            </w:r>
          </w:p>
          <w:p w14:paraId="62576749" w14:textId="1C6358B9" w:rsidR="00F202BD" w:rsidRPr="00DE4554" w:rsidRDefault="00F202BD" w:rsidP="00D87529">
            <w:pPr>
              <w:pStyle w:val="ListParagraph"/>
              <w:spacing w:after="120"/>
            </w:pPr>
            <w:r w:rsidRPr="00DE4554">
              <w:rPr>
                <w:rFonts w:eastAsiaTheme="majorEastAsia"/>
              </w:rPr>
              <w:t xml:space="preserve">Engage in, reflect on, and evaluate </w:t>
            </w:r>
            <w:r w:rsidRPr="00DE4554">
              <w:rPr>
                <w:rFonts w:eastAsiaTheme="majorEastAsia"/>
                <w:b/>
              </w:rPr>
              <w:t>career-life exploration</w:t>
            </w:r>
          </w:p>
          <w:p w14:paraId="3D1F3929" w14:textId="12BF545B" w:rsidR="00670E49" w:rsidRPr="00DE4554" w:rsidRDefault="003D5031" w:rsidP="00D87529">
            <w:pPr>
              <w:pStyle w:val="Topic"/>
              <w:contextualSpacing w:val="0"/>
            </w:pPr>
            <w:r>
              <w:t>Share</w:t>
            </w:r>
          </w:p>
          <w:p w14:paraId="2AEAACB2" w14:textId="77777777" w:rsidR="00F202BD" w:rsidRPr="00DE4554" w:rsidRDefault="00F202BD" w:rsidP="00F202BD">
            <w:pPr>
              <w:pStyle w:val="ListParagraph"/>
              <w:rPr>
                <w:lang w:bidi="en-US"/>
              </w:rPr>
            </w:pPr>
            <w:r w:rsidRPr="00DE4554">
              <w:rPr>
                <w:rFonts w:eastAsiaTheme="majorEastAsia"/>
                <w:lang w:bidi="en-US"/>
              </w:rPr>
              <w:t>Reflect on experiences in school and out of school, assess development in the Core Competencies, and share highlights of their learning journey</w:t>
            </w:r>
          </w:p>
          <w:p w14:paraId="287E313D" w14:textId="2D6DE2E2" w:rsidR="00670E49" w:rsidRPr="00DE4554" w:rsidRDefault="00F202BD" w:rsidP="00577850">
            <w:pPr>
              <w:pStyle w:val="ListParagraph"/>
            </w:pPr>
            <w:r w:rsidRPr="00DE4554">
              <w:t xml:space="preserve">Design, assemble, and present a capstone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1BCD6" w14:textId="12763FC6" w:rsidR="00CC39FB" w:rsidRPr="00DE4554" w:rsidRDefault="00CC39FB" w:rsidP="00CC39FB">
            <w:pPr>
              <w:pStyle w:val="Topic"/>
              <w:contextualSpacing w:val="0"/>
            </w:pPr>
            <w:r w:rsidRPr="00DE4554">
              <w:t>Career-life planning</w:t>
            </w:r>
          </w:p>
          <w:p w14:paraId="4D0E68CB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self-assessment</w:t>
            </w:r>
            <w:r w:rsidRPr="00DE4554">
              <w:t xml:space="preserve"> to achieve goals that advance preferred career-life futures</w:t>
            </w:r>
          </w:p>
          <w:p w14:paraId="3CD70C9D" w14:textId="7A2AC873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 xml:space="preserve">methods </w:t>
            </w:r>
            <w:r w:rsidRPr="00DE4554">
              <w:t xml:space="preserve">of organizing and maintaining authentic </w:t>
            </w:r>
            <w:r w:rsidR="00715F98" w:rsidRPr="00DE4554">
              <w:br/>
            </w:r>
            <w:r w:rsidRPr="00DE4554">
              <w:t>career-life evidence</w:t>
            </w:r>
          </w:p>
          <w:p w14:paraId="210BA6D9" w14:textId="77777777" w:rsidR="00F202BD" w:rsidRPr="00DE4554" w:rsidRDefault="00F202BD" w:rsidP="00F202BD">
            <w:pPr>
              <w:pStyle w:val="ListParagraph"/>
            </w:pPr>
            <w:r w:rsidRPr="00DE4554">
              <w:rPr>
                <w:b/>
              </w:rPr>
              <w:t>career-life roles</w:t>
            </w:r>
            <w:r w:rsidRPr="00DE4554">
              <w:t xml:space="preserve"> and transitions </w:t>
            </w:r>
          </w:p>
          <w:p w14:paraId="570C9511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t xml:space="preserve">diverse post-graduation possibilities, including personal, educational, and </w:t>
            </w:r>
            <w:r w:rsidRPr="00DE4554">
              <w:rPr>
                <w:b/>
              </w:rPr>
              <w:t>work</w:t>
            </w:r>
            <w:r w:rsidRPr="00DE4554">
              <w:t xml:space="preserve"> options</w:t>
            </w:r>
          </w:p>
          <w:p w14:paraId="18BF9CE6" w14:textId="5658F00B" w:rsidR="00F202BD" w:rsidRPr="00DE4554" w:rsidRDefault="00F202BD" w:rsidP="00F202BD">
            <w:pPr>
              <w:pStyle w:val="ListParagraph"/>
            </w:pPr>
            <w:r w:rsidRPr="00DE4554">
              <w:t xml:space="preserve">labour market trends and local and global </w:t>
            </w:r>
            <w:r w:rsidRPr="00DE4554">
              <w:rPr>
                <w:b/>
              </w:rPr>
              <w:t>influences</w:t>
            </w:r>
            <w:r w:rsidRPr="00DE4554">
              <w:t xml:space="preserve"> </w:t>
            </w:r>
            <w:r w:rsidR="00715F98" w:rsidRPr="00DE4554">
              <w:br/>
            </w:r>
            <w:r w:rsidRPr="00DE4554">
              <w:t>on career-life choices</w:t>
            </w:r>
          </w:p>
          <w:p w14:paraId="09F2D05E" w14:textId="77777777" w:rsidR="00F202BD" w:rsidRPr="00DE4554" w:rsidRDefault="00F202BD" w:rsidP="00F202BD">
            <w:pPr>
              <w:pStyle w:val="ListParagraph"/>
            </w:pPr>
            <w:r w:rsidRPr="00DE4554">
              <w:t>post-graduation budget planning</w:t>
            </w:r>
          </w:p>
          <w:p w14:paraId="43304B17" w14:textId="77777777" w:rsidR="00F202BD" w:rsidRPr="00DE4554" w:rsidRDefault="00F202BD" w:rsidP="00F202BD">
            <w:pPr>
              <w:pStyle w:val="ListParagraph"/>
              <w:rPr>
                <w:b/>
              </w:rPr>
            </w:pPr>
            <w:r w:rsidRPr="00DE4554">
              <w:rPr>
                <w:b/>
              </w:rPr>
              <w:t>capstone guidelines</w:t>
            </w:r>
          </w:p>
          <w:p w14:paraId="28E41C67" w14:textId="2EBD79E3" w:rsidR="007904B5" w:rsidRPr="00DE4554" w:rsidRDefault="00F202BD" w:rsidP="00F202BD">
            <w:pPr>
              <w:pStyle w:val="ListParagraph"/>
              <w:spacing w:after="120"/>
            </w:pPr>
            <w:r w:rsidRPr="00DE4554">
              <w:rPr>
                <w:b/>
              </w:rPr>
              <w:t>approaches</w:t>
            </w:r>
            <w:r w:rsidRPr="00DE4554">
              <w:t xml:space="preserve"> to showcasing the learning journey</w:t>
            </w:r>
          </w:p>
        </w:tc>
      </w:tr>
    </w:tbl>
    <w:p w14:paraId="0C83B2F9" w14:textId="77777777" w:rsidR="0018557D" w:rsidRPr="00DE4554" w:rsidRDefault="0018557D" w:rsidP="00627D2F"/>
    <w:p w14:paraId="0B0C18BB" w14:textId="77777777" w:rsidR="00627D2F" w:rsidRPr="00DE4554" w:rsidRDefault="00627D2F" w:rsidP="00627D2F"/>
    <w:p w14:paraId="08CF9400" w14:textId="77777777" w:rsidR="00F9586F" w:rsidRPr="00DE4554" w:rsidRDefault="00F9586F" w:rsidP="00627D2F"/>
    <w:p w14:paraId="7568E9D6" w14:textId="77777777" w:rsidR="00E56EC8" w:rsidRPr="00DE4554" w:rsidRDefault="00E56EC8" w:rsidP="00627D2F"/>
    <w:p w14:paraId="54DFB7FE" w14:textId="77777777" w:rsidR="00E56EC8" w:rsidRPr="00DE4554" w:rsidRDefault="00E56EC8" w:rsidP="00627D2F"/>
    <w:sectPr w:rsidR="00E56EC8" w:rsidRPr="00DE4554" w:rsidSect="00B86C6A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55ED58B2" w:rsidR="00FE1345" w:rsidRPr="00E80591" w:rsidRDefault="00803E7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6081E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850DD7"/>
    <w:multiLevelType w:val="hybridMultilevel"/>
    <w:tmpl w:val="421A3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EE4EE4FC"/>
    <w:lvl w:ilvl="0" w:tplc="314ED40C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2E38E7"/>
    <w:multiLevelType w:val="hybridMultilevel"/>
    <w:tmpl w:val="D382E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544B"/>
    <w:multiLevelType w:val="hybridMultilevel"/>
    <w:tmpl w:val="EE7E0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854C9E"/>
    <w:multiLevelType w:val="hybridMultilevel"/>
    <w:tmpl w:val="2AA0A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A232C"/>
    <w:multiLevelType w:val="hybridMultilevel"/>
    <w:tmpl w:val="78828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F31937"/>
    <w:multiLevelType w:val="hybridMultilevel"/>
    <w:tmpl w:val="F13C1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C1E7A"/>
    <w:multiLevelType w:val="hybridMultilevel"/>
    <w:tmpl w:val="D1FEB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C42B3"/>
    <w:multiLevelType w:val="hybridMultilevel"/>
    <w:tmpl w:val="1744E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A66B8"/>
    <w:multiLevelType w:val="hybridMultilevel"/>
    <w:tmpl w:val="D3E226A6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392168C"/>
    <w:multiLevelType w:val="hybridMultilevel"/>
    <w:tmpl w:val="41ACB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5"/>
  </w:num>
  <w:num w:numId="32">
    <w:abstractNumId w:val="11"/>
  </w:num>
  <w:num w:numId="33">
    <w:abstractNumId w:val="16"/>
  </w:num>
  <w:num w:numId="34">
    <w:abstractNumId w:val="12"/>
  </w:num>
  <w:num w:numId="35">
    <w:abstractNumId w:val="7"/>
  </w:num>
  <w:num w:numId="36">
    <w:abstractNumId w:val="14"/>
  </w:num>
  <w:num w:numId="37">
    <w:abstractNumId w:val="8"/>
  </w:num>
  <w:num w:numId="38">
    <w:abstractNumId w:val="15"/>
  </w:num>
  <w:num w:numId="39">
    <w:abstractNumId w:val="10"/>
  </w:num>
  <w:num w:numId="40">
    <w:abstractNumId w:val="13"/>
  </w:num>
  <w:num w:numId="4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35A4F"/>
    <w:rsid w:val="00047E91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C43E5"/>
    <w:rsid w:val="002E3C1B"/>
    <w:rsid w:val="002E55AA"/>
    <w:rsid w:val="002F0088"/>
    <w:rsid w:val="00315439"/>
    <w:rsid w:val="00364762"/>
    <w:rsid w:val="00391687"/>
    <w:rsid w:val="003925B2"/>
    <w:rsid w:val="003A3345"/>
    <w:rsid w:val="003D5031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77850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B7CB9"/>
    <w:rsid w:val="006C1F70"/>
    <w:rsid w:val="006E3C51"/>
    <w:rsid w:val="00702F68"/>
    <w:rsid w:val="0071516B"/>
    <w:rsid w:val="00715F98"/>
    <w:rsid w:val="0072171C"/>
    <w:rsid w:val="007351A6"/>
    <w:rsid w:val="00735FF4"/>
    <w:rsid w:val="00741E53"/>
    <w:rsid w:val="007460EC"/>
    <w:rsid w:val="0076081E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03E7A"/>
    <w:rsid w:val="00815099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C3F30"/>
    <w:rsid w:val="009E4B98"/>
    <w:rsid w:val="009E6E14"/>
    <w:rsid w:val="009F4B7F"/>
    <w:rsid w:val="00A079C2"/>
    <w:rsid w:val="00A13FD8"/>
    <w:rsid w:val="00A17934"/>
    <w:rsid w:val="00A2482D"/>
    <w:rsid w:val="00A26CE6"/>
    <w:rsid w:val="00A34E20"/>
    <w:rsid w:val="00A447FD"/>
    <w:rsid w:val="00A457B7"/>
    <w:rsid w:val="00A47A92"/>
    <w:rsid w:val="00A53362"/>
    <w:rsid w:val="00A76AC7"/>
    <w:rsid w:val="00A87F23"/>
    <w:rsid w:val="00A9052F"/>
    <w:rsid w:val="00AB2F24"/>
    <w:rsid w:val="00AB3E8E"/>
    <w:rsid w:val="00AC41B9"/>
    <w:rsid w:val="00AD4E6E"/>
    <w:rsid w:val="00AE67D7"/>
    <w:rsid w:val="00AF70A4"/>
    <w:rsid w:val="00B0173E"/>
    <w:rsid w:val="00B1106E"/>
    <w:rsid w:val="00B12655"/>
    <w:rsid w:val="00B40182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23919"/>
    <w:rsid w:val="00D26B8E"/>
    <w:rsid w:val="00D311E5"/>
    <w:rsid w:val="00D41F6E"/>
    <w:rsid w:val="00D553ED"/>
    <w:rsid w:val="00D64299"/>
    <w:rsid w:val="00D735D9"/>
    <w:rsid w:val="00D8654A"/>
    <w:rsid w:val="00D87330"/>
    <w:rsid w:val="00D87529"/>
    <w:rsid w:val="00DA79C0"/>
    <w:rsid w:val="00DC1DA5"/>
    <w:rsid w:val="00DC2C4B"/>
    <w:rsid w:val="00DD1C77"/>
    <w:rsid w:val="00DE4554"/>
    <w:rsid w:val="00DF3B95"/>
    <w:rsid w:val="00E13917"/>
    <w:rsid w:val="00E2444A"/>
    <w:rsid w:val="00E56EC8"/>
    <w:rsid w:val="00E80591"/>
    <w:rsid w:val="00E834AB"/>
    <w:rsid w:val="00E842D8"/>
    <w:rsid w:val="00E94240"/>
    <w:rsid w:val="00EA01D7"/>
    <w:rsid w:val="00EA2024"/>
    <w:rsid w:val="00EA565D"/>
    <w:rsid w:val="00ED6CC1"/>
    <w:rsid w:val="00F03477"/>
    <w:rsid w:val="00F12B79"/>
    <w:rsid w:val="00F13207"/>
    <w:rsid w:val="00F202BD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6EC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56EC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02BD"/>
    <w:pPr>
      <w:spacing w:before="100" w:beforeAutospacing="1" w:after="100" w:afterAutospacing="1"/>
    </w:pPr>
    <w:rPr>
      <w:rFonts w:eastAsia="Calibri"/>
      <w:lang w:val="en-CA" w:eastAsia="en-C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ListparagraphidentLastsub-bullet">
    <w:name w:val="List paragraph ident Last sub-bullet"/>
    <w:basedOn w:val="ListParagraphindent"/>
    <w:qFormat/>
    <w:rsid w:val="00B40182"/>
    <w:pPr>
      <w:spacing w:after="60"/>
    </w:pPr>
  </w:style>
  <w:style w:type="paragraph" w:customStyle="1" w:styleId="italicelaboration">
    <w:name w:val="italic elaboration"/>
    <w:basedOn w:val="ListParagraph"/>
    <w:qFormat/>
    <w:rsid w:val="00B40182"/>
    <w:pPr>
      <w:numPr>
        <w:numId w:val="0"/>
      </w:numPr>
      <w:spacing w:before="60" w:after="20"/>
      <w:ind w:left="613"/>
    </w:pPr>
    <w:rPr>
      <w:i/>
    </w:rPr>
  </w:style>
  <w:style w:type="paragraph" w:customStyle="1" w:styleId="ListParagraphwithsub-bullets">
    <w:name w:val="List Paragraph with sub-bullets"/>
    <w:basedOn w:val="ListParagraph"/>
    <w:qFormat/>
    <w:rsid w:val="00815099"/>
    <w:pPr>
      <w:spacing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6EC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56EC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02BD"/>
    <w:pPr>
      <w:spacing w:before="100" w:beforeAutospacing="1" w:after="100" w:afterAutospacing="1"/>
    </w:pPr>
    <w:rPr>
      <w:rFonts w:eastAsia="Calibri"/>
      <w:lang w:val="en-CA" w:eastAsia="en-C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ListparagraphidentLastsub-bullet">
    <w:name w:val="List paragraph ident Last sub-bullet"/>
    <w:basedOn w:val="ListParagraphindent"/>
    <w:qFormat/>
    <w:rsid w:val="00B40182"/>
    <w:pPr>
      <w:spacing w:after="60"/>
    </w:pPr>
  </w:style>
  <w:style w:type="paragraph" w:customStyle="1" w:styleId="italicelaboration">
    <w:name w:val="italic elaboration"/>
    <w:basedOn w:val="ListParagraph"/>
    <w:qFormat/>
    <w:rsid w:val="00B40182"/>
    <w:pPr>
      <w:numPr>
        <w:numId w:val="0"/>
      </w:numPr>
      <w:spacing w:before="60" w:after="20"/>
      <w:ind w:left="613"/>
    </w:pPr>
    <w:rPr>
      <w:i/>
    </w:rPr>
  </w:style>
  <w:style w:type="paragraph" w:customStyle="1" w:styleId="ListParagraphwithsub-bullets">
    <w:name w:val="List Paragraph with sub-bullets"/>
    <w:basedOn w:val="ListParagraph"/>
    <w:qFormat/>
    <w:rsid w:val="00815099"/>
    <w:pPr>
      <w:spacing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C477-45FD-4661-A3BB-3232CF80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3266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Collyer, Vivian EDUC:EX</cp:lastModifiedBy>
  <cp:revision>2</cp:revision>
  <cp:lastPrinted>2018-06-19T17:13:00Z</cp:lastPrinted>
  <dcterms:created xsi:type="dcterms:W3CDTF">2018-06-19T18:35:00Z</dcterms:created>
  <dcterms:modified xsi:type="dcterms:W3CDTF">2018-06-19T18:35:00Z</dcterms:modified>
</cp:coreProperties>
</file>