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D01D8" w14:textId="0B5C5AD8" w:rsidR="00023C18" w:rsidRPr="002A2DB3" w:rsidRDefault="00023C18" w:rsidP="00E455DB">
      <w:pPr>
        <w:pBdr>
          <w:bottom w:val="single" w:sz="4" w:space="4" w:color="auto"/>
        </w:pBdr>
        <w:tabs>
          <w:tab w:val="left" w:pos="4644"/>
          <w:tab w:val="right" w:pos="14232"/>
        </w:tabs>
        <w:ind w:left="1368" w:right="-112"/>
        <w:rPr>
          <w:b/>
          <w:sz w:val="28"/>
        </w:rPr>
      </w:pPr>
      <w:bookmarkStart w:id="0" w:name="_GoBack"/>
      <w:bookmarkEnd w:id="0"/>
      <w:r w:rsidRPr="002A2DB3">
        <w:rPr>
          <w:noProof/>
          <w:szCs w:val="20"/>
          <w:lang w:val="en-CA" w:eastAsia="en-CA"/>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DB3">
        <w:rPr>
          <w:b/>
          <w:sz w:val="28"/>
        </w:rPr>
        <w:t xml:space="preserve">Domaine d’apprentissage : </w:t>
      </w:r>
      <w:bookmarkStart w:id="1" w:name="lt_pId000"/>
      <w:r w:rsidR="00E455DB" w:rsidRPr="002A2DB3">
        <w:rPr>
          <w:b/>
          <w:caps/>
          <w:sz w:val="28"/>
        </w:rPr>
        <w:t xml:space="preserve">Conception, compétences pratiques </w:t>
      </w:r>
      <w:r w:rsidR="00E455DB" w:rsidRPr="002A2DB3">
        <w:rPr>
          <w:b/>
          <w:caps/>
          <w:sz w:val="28"/>
        </w:rPr>
        <w:br/>
      </w:r>
      <w:r w:rsidR="00E455DB" w:rsidRPr="002A2DB3">
        <w:rPr>
          <w:b/>
          <w:caps/>
          <w:sz w:val="28"/>
        </w:rPr>
        <w:tab/>
        <w:t>Et technologies</w:t>
      </w:r>
      <w:bookmarkEnd w:id="1"/>
      <w:r w:rsidRPr="002A2DB3">
        <w:rPr>
          <w:b/>
          <w:sz w:val="28"/>
        </w:rPr>
        <w:t xml:space="preserve"> — </w:t>
      </w:r>
      <w:r w:rsidR="00514397" w:rsidRPr="002A2DB3">
        <w:rPr>
          <w:b/>
          <w:sz w:val="28"/>
        </w:rPr>
        <w:t>Commerce électronique</w:t>
      </w:r>
      <w:r w:rsidRPr="002A2DB3">
        <w:rPr>
          <w:b/>
          <w:sz w:val="28"/>
        </w:rPr>
        <w:tab/>
      </w:r>
      <w:r w:rsidR="00A50BF5" w:rsidRPr="002A2DB3">
        <w:rPr>
          <w:b/>
          <w:bCs/>
          <w:sz w:val="28"/>
        </w:rPr>
        <w:t>12</w:t>
      </w:r>
      <w:r w:rsidRPr="002A2DB3">
        <w:rPr>
          <w:b/>
          <w:bCs/>
          <w:position w:val="6"/>
          <w:sz w:val="20"/>
          <w:szCs w:val="20"/>
        </w:rPr>
        <w:t>e</w:t>
      </w:r>
      <w:r w:rsidRPr="002A2DB3">
        <w:rPr>
          <w:b/>
          <w:bCs/>
          <w:sz w:val="28"/>
        </w:rPr>
        <w:t xml:space="preserve"> année</w:t>
      </w:r>
    </w:p>
    <w:p w14:paraId="2E070600" w14:textId="77777777" w:rsidR="0014420D" w:rsidRPr="002A2DB3" w:rsidRDefault="0014420D" w:rsidP="009E3F9B">
      <w:pPr>
        <w:tabs>
          <w:tab w:val="right" w:pos="14232"/>
        </w:tabs>
        <w:spacing w:before="60"/>
        <w:rPr>
          <w:b/>
          <w:sz w:val="28"/>
        </w:rPr>
      </w:pPr>
      <w:r w:rsidRPr="002A2DB3">
        <w:rPr>
          <w:b/>
          <w:sz w:val="28"/>
        </w:rPr>
        <w:tab/>
      </w:r>
    </w:p>
    <w:p w14:paraId="1F219315" w14:textId="51662234" w:rsidR="00670E49" w:rsidRPr="002A2DB3" w:rsidRDefault="00E11BAF" w:rsidP="009E3F9B">
      <w:pPr>
        <w:spacing w:after="80"/>
        <w:jc w:val="center"/>
        <w:outlineLvl w:val="0"/>
        <w:rPr>
          <w:rFonts w:ascii="Helvetica" w:hAnsi="Helvetica" w:cs="Arial"/>
          <w:b/>
          <w:bCs/>
          <w:color w:val="000000" w:themeColor="text1"/>
        </w:rPr>
      </w:pPr>
      <w:r w:rsidRPr="002A2DB3">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3360"/>
        <w:gridCol w:w="236"/>
        <w:gridCol w:w="2880"/>
        <w:gridCol w:w="236"/>
        <w:gridCol w:w="3600"/>
      </w:tblGrid>
      <w:tr w:rsidR="00E455DB" w:rsidRPr="002A2DB3" w14:paraId="2A80BE53" w14:textId="77777777" w:rsidTr="00514397">
        <w:trPr>
          <w:jc w:val="center"/>
        </w:trPr>
        <w:tc>
          <w:tcPr>
            <w:tcW w:w="3360" w:type="dxa"/>
            <w:tcBorders>
              <w:top w:val="single" w:sz="2" w:space="0" w:color="auto"/>
              <w:left w:val="single" w:sz="2" w:space="0" w:color="auto"/>
              <w:bottom w:val="single" w:sz="2" w:space="0" w:color="auto"/>
              <w:right w:val="single" w:sz="2" w:space="0" w:color="auto"/>
            </w:tcBorders>
            <w:shd w:val="clear" w:color="auto" w:fill="FEECBC"/>
          </w:tcPr>
          <w:p w14:paraId="14156726" w14:textId="08B54E91" w:rsidR="00E455DB" w:rsidRPr="002A2DB3" w:rsidRDefault="00514397" w:rsidP="00E455DB">
            <w:pPr>
              <w:pStyle w:val="Tablestyle1"/>
              <w:rPr>
                <w:rFonts w:cs="Arial"/>
              </w:rPr>
            </w:pPr>
            <w:r w:rsidRPr="00805AD0">
              <w:rPr>
                <w:szCs w:val="20"/>
              </w:rPr>
              <w:t xml:space="preserve">La </w:t>
            </w:r>
            <w:r w:rsidRPr="00805AD0">
              <w:rPr>
                <w:b/>
                <w:szCs w:val="20"/>
              </w:rPr>
              <w:t xml:space="preserve">commercialisation éthique </w:t>
            </w:r>
            <w:r w:rsidRPr="00805AD0">
              <w:rPr>
                <w:szCs w:val="20"/>
              </w:rPr>
              <w:t>participe à l’édification d’un marché mondial plus sain.</w:t>
            </w:r>
          </w:p>
        </w:tc>
        <w:tc>
          <w:tcPr>
            <w:tcW w:w="236" w:type="dxa"/>
            <w:tcBorders>
              <w:top w:val="nil"/>
              <w:left w:val="single" w:sz="2" w:space="0" w:color="auto"/>
              <w:bottom w:val="nil"/>
              <w:right w:val="single" w:sz="2" w:space="0" w:color="auto"/>
            </w:tcBorders>
            <w:shd w:val="clear" w:color="auto" w:fill="auto"/>
          </w:tcPr>
          <w:p w14:paraId="1422D24E" w14:textId="77777777" w:rsidR="00E455DB" w:rsidRPr="002A2DB3" w:rsidRDefault="00E455DB" w:rsidP="00D9672D">
            <w:pPr>
              <w:spacing w:before="120" w:after="120"/>
              <w:jc w:val="center"/>
              <w:rPr>
                <w:rFonts w:cs="Arial"/>
                <w:sz w:val="20"/>
              </w:rPr>
            </w:pPr>
          </w:p>
        </w:tc>
        <w:tc>
          <w:tcPr>
            <w:tcW w:w="2880" w:type="dxa"/>
            <w:tcBorders>
              <w:top w:val="single" w:sz="2" w:space="0" w:color="auto"/>
              <w:left w:val="single" w:sz="2" w:space="0" w:color="auto"/>
              <w:bottom w:val="single" w:sz="2" w:space="0" w:color="auto"/>
              <w:right w:val="single" w:sz="2" w:space="0" w:color="auto"/>
            </w:tcBorders>
            <w:shd w:val="clear" w:color="auto" w:fill="FEECBC"/>
          </w:tcPr>
          <w:p w14:paraId="16EAC857" w14:textId="69F87B2C" w:rsidR="00E455DB" w:rsidRPr="002A2DB3" w:rsidRDefault="00514397" w:rsidP="00D9672D">
            <w:pPr>
              <w:pStyle w:val="Tablestyle1"/>
              <w:rPr>
                <w:rFonts w:cs="Arial"/>
              </w:rPr>
            </w:pPr>
            <w:bookmarkStart w:id="2" w:name="lt_pId006"/>
            <w:r w:rsidRPr="00805AD0">
              <w:rPr>
                <w:szCs w:val="20"/>
              </w:rPr>
              <w:t xml:space="preserve">Le monde des affaires crée </w:t>
            </w:r>
            <w:r w:rsidRPr="002A2DB3">
              <w:rPr>
                <w:szCs w:val="20"/>
              </w:rPr>
              <w:br/>
            </w:r>
            <w:r w:rsidRPr="00805AD0">
              <w:rPr>
                <w:szCs w:val="20"/>
              </w:rPr>
              <w:t xml:space="preserve">des occasions qui facilitent </w:t>
            </w:r>
            <w:r w:rsidRPr="002A2DB3">
              <w:rPr>
                <w:szCs w:val="20"/>
              </w:rPr>
              <w:br/>
            </w:r>
            <w:r w:rsidRPr="00805AD0">
              <w:rPr>
                <w:szCs w:val="20"/>
              </w:rPr>
              <w:t>le changement.</w:t>
            </w:r>
            <w:bookmarkEnd w:id="2"/>
          </w:p>
        </w:tc>
        <w:tc>
          <w:tcPr>
            <w:tcW w:w="236" w:type="dxa"/>
            <w:tcBorders>
              <w:top w:val="nil"/>
              <w:left w:val="single" w:sz="2" w:space="0" w:color="auto"/>
              <w:bottom w:val="nil"/>
              <w:right w:val="single" w:sz="2" w:space="0" w:color="auto"/>
            </w:tcBorders>
          </w:tcPr>
          <w:p w14:paraId="48146874" w14:textId="77777777" w:rsidR="00E455DB" w:rsidRPr="002A2DB3" w:rsidRDefault="00E455DB" w:rsidP="00D9672D">
            <w:pPr>
              <w:spacing w:before="120" w:after="120"/>
              <w:jc w:val="center"/>
              <w:rPr>
                <w:rFonts w:cs="Arial"/>
                <w:sz w:val="20"/>
              </w:rPr>
            </w:pPr>
          </w:p>
        </w:tc>
        <w:tc>
          <w:tcPr>
            <w:tcW w:w="3600" w:type="dxa"/>
            <w:tcBorders>
              <w:top w:val="single" w:sz="2" w:space="0" w:color="auto"/>
              <w:left w:val="single" w:sz="2" w:space="0" w:color="auto"/>
              <w:bottom w:val="single" w:sz="2" w:space="0" w:color="auto"/>
              <w:right w:val="single" w:sz="2" w:space="0" w:color="auto"/>
            </w:tcBorders>
            <w:shd w:val="clear" w:color="auto" w:fill="FEECBC"/>
          </w:tcPr>
          <w:p w14:paraId="51F8027B" w14:textId="0337F465" w:rsidR="00E455DB" w:rsidRPr="002A2DB3" w:rsidRDefault="00514397" w:rsidP="00D9672D">
            <w:pPr>
              <w:pStyle w:val="Tablestyle1"/>
              <w:rPr>
                <w:rFonts w:cs="Arial"/>
                <w:spacing w:val="-3"/>
              </w:rPr>
            </w:pPr>
            <w:r w:rsidRPr="00805AD0">
              <w:rPr>
                <w:szCs w:val="20"/>
              </w:rPr>
              <w:t xml:space="preserve">Chaque étape du processus de conception requiert des </w:t>
            </w:r>
            <w:r w:rsidRPr="00805AD0">
              <w:rPr>
                <w:b/>
                <w:szCs w:val="20"/>
              </w:rPr>
              <w:t>technologies</w:t>
            </w:r>
            <w:r w:rsidRPr="00805AD0">
              <w:rPr>
                <w:szCs w:val="20"/>
              </w:rPr>
              <w:t xml:space="preserve"> </w:t>
            </w:r>
            <w:r w:rsidRPr="002A2DB3">
              <w:rPr>
                <w:szCs w:val="20"/>
              </w:rPr>
              <w:br/>
            </w:r>
            <w:r w:rsidRPr="00805AD0">
              <w:rPr>
                <w:szCs w:val="20"/>
              </w:rPr>
              <w:t>et des outils différents.</w:t>
            </w:r>
          </w:p>
        </w:tc>
      </w:tr>
    </w:tbl>
    <w:p w14:paraId="6101909B" w14:textId="77777777" w:rsidR="00C048A6" w:rsidRPr="002A2DB3" w:rsidRDefault="00C048A6" w:rsidP="009E3F9B">
      <w:pPr>
        <w:rPr>
          <w:sz w:val="16"/>
          <w:szCs w:val="16"/>
        </w:rPr>
      </w:pPr>
    </w:p>
    <w:p w14:paraId="2F2BAA8A" w14:textId="1FC33B70" w:rsidR="00E11BAF" w:rsidRPr="002A2DB3" w:rsidRDefault="00E11BAF" w:rsidP="009E3F9B">
      <w:pPr>
        <w:spacing w:before="120" w:after="160"/>
        <w:jc w:val="center"/>
        <w:outlineLvl w:val="0"/>
        <w:rPr>
          <w:b/>
          <w:sz w:val="28"/>
          <w:szCs w:val="22"/>
        </w:rPr>
      </w:pPr>
      <w:r w:rsidRPr="002A2DB3">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0"/>
        <w:gridCol w:w="5906"/>
      </w:tblGrid>
      <w:tr w:rsidR="00514397" w:rsidRPr="002A2DB3" w14:paraId="7C49560F" w14:textId="77777777" w:rsidTr="00514397">
        <w:tc>
          <w:tcPr>
            <w:tcW w:w="2940"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2A2DB3" w:rsidRDefault="00E11BAF" w:rsidP="009E3F9B">
            <w:pPr>
              <w:spacing w:before="60" w:after="60"/>
              <w:rPr>
                <w:b/>
                <w:szCs w:val="22"/>
              </w:rPr>
            </w:pPr>
            <w:r w:rsidRPr="002A2DB3">
              <w:rPr>
                <w:b/>
                <w:szCs w:val="22"/>
              </w:rPr>
              <w:t>Compétences disciplinaires</w:t>
            </w:r>
          </w:p>
        </w:tc>
        <w:tc>
          <w:tcPr>
            <w:tcW w:w="2060"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2A2DB3" w:rsidRDefault="0059376F" w:rsidP="009E3F9B">
            <w:pPr>
              <w:spacing w:before="60" w:after="60"/>
              <w:rPr>
                <w:b/>
                <w:szCs w:val="22"/>
              </w:rPr>
            </w:pPr>
            <w:r w:rsidRPr="002A2DB3">
              <w:rPr>
                <w:b/>
                <w:color w:val="FFFFFF" w:themeColor="background1"/>
                <w:szCs w:val="22"/>
              </w:rPr>
              <w:t>Conten</w:t>
            </w:r>
            <w:r w:rsidR="00E11BAF" w:rsidRPr="002A2DB3">
              <w:rPr>
                <w:b/>
                <w:color w:val="FFFFFF" w:themeColor="background1"/>
                <w:szCs w:val="22"/>
              </w:rPr>
              <w:t>u</w:t>
            </w:r>
          </w:p>
        </w:tc>
      </w:tr>
      <w:tr w:rsidR="00514397" w:rsidRPr="002A2DB3" w14:paraId="5149B766" w14:textId="77777777" w:rsidTr="00514397">
        <w:trPr>
          <w:trHeight w:val="6107"/>
        </w:trPr>
        <w:tc>
          <w:tcPr>
            <w:tcW w:w="2940" w:type="pct"/>
            <w:tcBorders>
              <w:top w:val="single" w:sz="2" w:space="0" w:color="auto"/>
              <w:left w:val="single" w:sz="2" w:space="0" w:color="auto"/>
              <w:bottom w:val="single" w:sz="2" w:space="0" w:color="auto"/>
              <w:right w:val="single" w:sz="2" w:space="0" w:color="auto"/>
            </w:tcBorders>
            <w:shd w:val="clear" w:color="auto" w:fill="auto"/>
          </w:tcPr>
          <w:p w14:paraId="239F77B9" w14:textId="5DB31CEB" w:rsidR="00A50BF5" w:rsidRPr="002A2DB3" w:rsidRDefault="00D772C9" w:rsidP="00A50BF5">
            <w:pPr>
              <w:spacing w:before="120" w:after="120" w:line="240" w:lineRule="atLeast"/>
              <w:rPr>
                <w:rFonts w:ascii="Helvetica Oblique" w:hAnsi="Helvetica Oblique"/>
                <w:i/>
                <w:iCs/>
                <w:sz w:val="20"/>
              </w:rPr>
            </w:pPr>
            <w:r w:rsidRPr="002A2DB3">
              <w:rPr>
                <w:rFonts w:ascii="Helvetica" w:hAnsi="Helvetica"/>
                <w:i/>
                <w:sz w:val="20"/>
                <w:szCs w:val="20"/>
              </w:rPr>
              <w:t>L’élève sera capable de :</w:t>
            </w:r>
          </w:p>
          <w:p w14:paraId="2CE2697A" w14:textId="73963F08" w:rsidR="00834179" w:rsidRPr="002A2DB3" w:rsidRDefault="00834179" w:rsidP="00A50BF5">
            <w:pPr>
              <w:pStyle w:val="Topic"/>
            </w:pPr>
            <w:r w:rsidRPr="002A2DB3">
              <w:t>Conception</w:t>
            </w:r>
          </w:p>
          <w:p w14:paraId="137BCB8B" w14:textId="77777777" w:rsidR="00514397" w:rsidRPr="00805AD0" w:rsidRDefault="00514397" w:rsidP="00514397">
            <w:pPr>
              <w:pStyle w:val="TopicSubItalics"/>
            </w:pPr>
            <w:bookmarkStart w:id="3" w:name="lt_pId015"/>
            <w:proofErr w:type="spellStart"/>
            <w:r w:rsidRPr="00805AD0">
              <w:t>Comprendre</w:t>
            </w:r>
            <w:proofErr w:type="spellEnd"/>
            <w:r w:rsidRPr="00805AD0">
              <w:t xml:space="preserve"> le </w:t>
            </w:r>
            <w:proofErr w:type="spellStart"/>
            <w:r w:rsidRPr="00805AD0">
              <w:t>contexte</w:t>
            </w:r>
            <w:bookmarkEnd w:id="3"/>
            <w:proofErr w:type="spellEnd"/>
          </w:p>
          <w:p w14:paraId="0F3C5D27" w14:textId="135D15A4" w:rsidR="00514397" w:rsidRPr="00805AD0" w:rsidRDefault="00514397" w:rsidP="00514397">
            <w:pPr>
              <w:pStyle w:val="ListParagraph"/>
              <w:rPr>
                <w:b/>
              </w:rPr>
            </w:pPr>
            <w:bookmarkStart w:id="4" w:name="lt_pId016"/>
            <w:r w:rsidRPr="00805AD0">
              <w:t>Se livrer à une activité d’</w:t>
            </w:r>
            <w:r w:rsidRPr="00805AD0">
              <w:rPr>
                <w:b/>
              </w:rPr>
              <w:t>investigation</w:t>
            </w:r>
            <w:r w:rsidRPr="00805AD0">
              <w:t xml:space="preserve"> afin de comprendre les occasions </w:t>
            </w:r>
            <w:r w:rsidRPr="002A2DB3">
              <w:br/>
            </w:r>
            <w:r w:rsidRPr="00805AD0">
              <w:t>de conception et les obstacles potentiels</w:t>
            </w:r>
            <w:bookmarkEnd w:id="4"/>
            <w:r w:rsidRPr="00805AD0">
              <w:rPr>
                <w:b/>
              </w:rPr>
              <w:tab/>
            </w:r>
          </w:p>
          <w:p w14:paraId="19CE69DA" w14:textId="7C7993E1" w:rsidR="00514397" w:rsidRPr="00805AD0" w:rsidRDefault="00514397" w:rsidP="00514397">
            <w:pPr>
              <w:pStyle w:val="TopicSubItalics"/>
            </w:pPr>
            <w:bookmarkStart w:id="5" w:name="lt_pId017"/>
            <w:proofErr w:type="spellStart"/>
            <w:r w:rsidRPr="00805AD0">
              <w:rPr>
                <w:color w:val="auto"/>
              </w:rPr>
              <w:t>Définir</w:t>
            </w:r>
            <w:bookmarkEnd w:id="5"/>
            <w:proofErr w:type="spellEnd"/>
          </w:p>
          <w:p w14:paraId="1EBF8B04" w14:textId="77777777" w:rsidR="00514397" w:rsidRPr="00805AD0" w:rsidRDefault="00514397" w:rsidP="00514397">
            <w:pPr>
              <w:pStyle w:val="ListParagraph"/>
            </w:pPr>
            <w:bookmarkStart w:id="6" w:name="lt_pId018"/>
            <w:r w:rsidRPr="002A2DB3">
              <w:t>Établir le point de vue de l’occasion de concept</w:t>
            </w:r>
            <w:bookmarkEnd w:id="6"/>
            <w:r w:rsidRPr="002A2DB3">
              <w:t xml:space="preserve">ion choisie </w:t>
            </w:r>
          </w:p>
          <w:p w14:paraId="3544E27C" w14:textId="77777777" w:rsidR="00514397" w:rsidRPr="00805AD0" w:rsidRDefault="00514397" w:rsidP="00514397">
            <w:pPr>
              <w:pStyle w:val="ListParagraph"/>
            </w:pPr>
            <w:bookmarkStart w:id="7" w:name="lt_pId019"/>
            <w:r w:rsidRPr="00805AD0">
              <w:t xml:space="preserve">Déterminer les utilisateurs potentiels, l’effet recherché et toute conséquence négative </w:t>
            </w:r>
            <w:bookmarkEnd w:id="7"/>
            <w:r w:rsidRPr="00805AD0">
              <w:t xml:space="preserve">possible </w:t>
            </w:r>
          </w:p>
          <w:p w14:paraId="68C3E1D4" w14:textId="12BD7B95" w:rsidR="00514397" w:rsidRPr="00805AD0" w:rsidRDefault="00514397" w:rsidP="00514397">
            <w:pPr>
              <w:pStyle w:val="ListParagraph"/>
            </w:pPr>
            <w:bookmarkStart w:id="8" w:name="lt_pId020"/>
            <w:r w:rsidRPr="00805AD0">
              <w:t xml:space="preserve">Prendre des décisions au sujet des prémisses et des </w:t>
            </w:r>
            <w:r w:rsidRPr="00805AD0">
              <w:rPr>
                <w:b/>
              </w:rPr>
              <w:t>contraintes</w:t>
            </w:r>
            <w:r w:rsidRPr="00805AD0">
              <w:t xml:space="preserve"> qui définissent l’espace de travail</w:t>
            </w:r>
            <w:bookmarkEnd w:id="8"/>
          </w:p>
          <w:p w14:paraId="3DBB7448" w14:textId="3C6BB446" w:rsidR="00514397" w:rsidRPr="00805AD0" w:rsidRDefault="00514397" w:rsidP="00514397">
            <w:pPr>
              <w:pStyle w:val="TopicSubItalics"/>
            </w:pPr>
            <w:bookmarkStart w:id="9" w:name="lt_pId021"/>
            <w:proofErr w:type="spellStart"/>
            <w:r w:rsidRPr="00805AD0">
              <w:rPr>
                <w:color w:val="auto"/>
              </w:rPr>
              <w:t>Concevoir</w:t>
            </w:r>
            <w:proofErr w:type="spellEnd"/>
            <w:r w:rsidRPr="00805AD0">
              <w:rPr>
                <w:color w:val="auto"/>
              </w:rPr>
              <w:t xml:space="preserve"> des </w:t>
            </w:r>
            <w:proofErr w:type="spellStart"/>
            <w:r w:rsidRPr="00805AD0">
              <w:rPr>
                <w:color w:val="auto"/>
              </w:rPr>
              <w:t>idées</w:t>
            </w:r>
            <w:bookmarkEnd w:id="9"/>
            <w:proofErr w:type="spellEnd"/>
          </w:p>
          <w:p w14:paraId="5B68C812" w14:textId="77777777" w:rsidR="00514397" w:rsidRPr="00805AD0" w:rsidRDefault="00514397" w:rsidP="00514397">
            <w:pPr>
              <w:pStyle w:val="ListParagraph"/>
            </w:pPr>
            <w:bookmarkStart w:id="10" w:name="lt_pId022"/>
            <w:r w:rsidRPr="00805AD0">
              <w:t>Concevoir les lacunes comme des occasions</w:t>
            </w:r>
            <w:bookmarkEnd w:id="10"/>
            <w:r w:rsidRPr="00805AD0">
              <w:t xml:space="preserve"> à saisir</w:t>
            </w:r>
          </w:p>
          <w:p w14:paraId="5DD0332E" w14:textId="7513F6E3" w:rsidR="00514397" w:rsidRPr="00805AD0" w:rsidRDefault="00514397" w:rsidP="00514397">
            <w:pPr>
              <w:pStyle w:val="ListParagraph"/>
            </w:pPr>
            <w:bookmarkStart w:id="11" w:name="lt_pId023"/>
            <w:r w:rsidRPr="002A2DB3">
              <w:t xml:space="preserve">Prendre des risques créatifs afin de formuler des idées, d’améliorer les idées </w:t>
            </w:r>
            <w:r w:rsidRPr="002A2DB3">
              <w:br/>
              <w:t>des autres et de créer un éventail de possibilités</w:t>
            </w:r>
            <w:bookmarkEnd w:id="11"/>
            <w:r w:rsidRPr="00805AD0">
              <w:t xml:space="preserve"> </w:t>
            </w:r>
          </w:p>
          <w:p w14:paraId="174840FB" w14:textId="19F35927" w:rsidR="00514397" w:rsidRPr="00805AD0" w:rsidRDefault="00514397" w:rsidP="00514397">
            <w:pPr>
              <w:pStyle w:val="ListParagraph"/>
            </w:pPr>
            <w:r w:rsidRPr="00805AD0">
              <w:t xml:space="preserve">Analyser de façon critique les répercussions de différents </w:t>
            </w:r>
            <w:r w:rsidRPr="00805AD0">
              <w:rPr>
                <w:b/>
              </w:rPr>
              <w:t>facteurs</w:t>
            </w:r>
            <w:r w:rsidRPr="00805AD0">
              <w:t xml:space="preserve"> </w:t>
            </w:r>
            <w:r w:rsidRPr="00805AD0">
              <w:rPr>
                <w:b/>
              </w:rPr>
              <w:t xml:space="preserve">associés </w:t>
            </w:r>
            <w:r w:rsidRPr="002A2DB3">
              <w:rPr>
                <w:b/>
              </w:rPr>
              <w:br/>
            </w:r>
            <w:r w:rsidRPr="00805AD0">
              <w:rPr>
                <w:b/>
              </w:rPr>
              <w:t>à la vie sociale, à l’éthique et à la durabilité</w:t>
            </w:r>
            <w:r w:rsidRPr="00805AD0">
              <w:t xml:space="preserve"> sur des solutions conçues pour répondre aux besoins mondiaux dans des scénarios d’avenir souhaitables</w:t>
            </w:r>
          </w:p>
          <w:p w14:paraId="61D86295" w14:textId="54F0F37C" w:rsidR="00137394" w:rsidRPr="002A2DB3" w:rsidRDefault="00514397" w:rsidP="00A50BF5">
            <w:pPr>
              <w:pStyle w:val="ListParagraph"/>
            </w:pPr>
            <w:r w:rsidRPr="00805AD0">
              <w:t xml:space="preserve">Classer les idées par ordre de priorité pour l’élaboration de prototypes </w:t>
            </w:r>
            <w:r w:rsidRPr="002A2DB3">
              <w:br/>
            </w:r>
            <w:r w:rsidRPr="00805AD0">
              <w:t xml:space="preserve">et la </w:t>
            </w:r>
            <w:r w:rsidRPr="00805AD0">
              <w:rPr>
                <w:b/>
              </w:rPr>
              <w:t>conception menée de concert avec les utilisateurs</w:t>
            </w:r>
          </w:p>
        </w:tc>
        <w:tc>
          <w:tcPr>
            <w:tcW w:w="2060"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2A2DB3" w:rsidRDefault="00D772C9" w:rsidP="009E3F9B">
            <w:pPr>
              <w:spacing w:before="120" w:after="120" w:line="240" w:lineRule="atLeast"/>
              <w:rPr>
                <w:rFonts w:ascii="Helvetica Oblique" w:hAnsi="Helvetica Oblique"/>
                <w:i/>
                <w:iCs/>
                <w:sz w:val="20"/>
              </w:rPr>
            </w:pPr>
            <w:r w:rsidRPr="002A2DB3">
              <w:rPr>
                <w:rFonts w:ascii="Helvetica" w:hAnsi="Helvetica"/>
                <w:i/>
                <w:sz w:val="20"/>
                <w:szCs w:val="20"/>
              </w:rPr>
              <w:t>L’élève connaîtra :</w:t>
            </w:r>
          </w:p>
          <w:p w14:paraId="4F67DCCA" w14:textId="77777777" w:rsidR="00514397" w:rsidRPr="00805AD0" w:rsidRDefault="00514397" w:rsidP="00514397">
            <w:pPr>
              <w:pStyle w:val="ListParagraph"/>
            </w:pPr>
            <w:bookmarkStart w:id="12" w:name="lt_pId074"/>
            <w:r w:rsidRPr="00805AD0">
              <w:t>Possibilités d’entrepreneuriat</w:t>
            </w:r>
            <w:bookmarkEnd w:id="12"/>
          </w:p>
          <w:p w14:paraId="5E8E187C" w14:textId="77777777" w:rsidR="00514397" w:rsidRPr="00805AD0" w:rsidRDefault="00514397" w:rsidP="00514397">
            <w:pPr>
              <w:pStyle w:val="ListParagraph"/>
            </w:pPr>
            <w:bookmarkStart w:id="13" w:name="lt_pId075"/>
            <w:r w:rsidRPr="00805AD0">
              <w:t xml:space="preserve">Créativité dans l’accroissement de la valeur d’une idée ou d’un produit </w:t>
            </w:r>
            <w:bookmarkEnd w:id="13"/>
          </w:p>
          <w:p w14:paraId="0C4E247E" w14:textId="77777777" w:rsidR="00514397" w:rsidRPr="00805AD0" w:rsidRDefault="00514397" w:rsidP="00514397">
            <w:pPr>
              <w:pStyle w:val="ListParagraph"/>
            </w:pPr>
            <w:bookmarkStart w:id="14" w:name="lt_pId076"/>
            <w:r w:rsidRPr="00805AD0">
              <w:t>Évolution et nature du commerce électronique</w:t>
            </w:r>
            <w:bookmarkEnd w:id="14"/>
          </w:p>
          <w:p w14:paraId="2CDAA847" w14:textId="4C4E71B6" w:rsidR="00514397" w:rsidRPr="00805AD0" w:rsidRDefault="00514397" w:rsidP="00514397">
            <w:pPr>
              <w:pStyle w:val="ListParagraph"/>
            </w:pPr>
            <w:bookmarkStart w:id="15" w:name="lt_pId077"/>
            <w:r w:rsidRPr="00805AD0">
              <w:t xml:space="preserve">Milieux locaux et mondial du commerce électronique </w:t>
            </w:r>
            <w:r w:rsidRPr="002A2DB3">
              <w:br/>
            </w:r>
            <w:r w:rsidRPr="00805AD0">
              <w:t>de détail</w:t>
            </w:r>
            <w:bookmarkEnd w:id="15"/>
          </w:p>
          <w:p w14:paraId="5B766F9A" w14:textId="77777777" w:rsidR="00514397" w:rsidRPr="00805AD0" w:rsidRDefault="00514397" w:rsidP="00514397">
            <w:pPr>
              <w:pStyle w:val="ListParagraph"/>
              <w:rPr>
                <w:b/>
              </w:rPr>
            </w:pPr>
            <w:r w:rsidRPr="00805AD0">
              <w:rPr>
                <w:b/>
              </w:rPr>
              <w:t>Aspects économiques du commerce électronique</w:t>
            </w:r>
          </w:p>
          <w:p w14:paraId="69A44F8B" w14:textId="77777777" w:rsidR="00514397" w:rsidRPr="00805AD0" w:rsidRDefault="00514397" w:rsidP="00514397">
            <w:pPr>
              <w:pStyle w:val="ListParagraph"/>
              <w:rPr>
                <w:b/>
              </w:rPr>
            </w:pPr>
            <w:r w:rsidRPr="00805AD0">
              <w:rPr>
                <w:b/>
              </w:rPr>
              <w:t xml:space="preserve">Modèles de génération de chiffre d’affaires </w:t>
            </w:r>
          </w:p>
          <w:p w14:paraId="5F8C7736" w14:textId="786D21A4" w:rsidR="00514397" w:rsidRPr="00805AD0" w:rsidRDefault="00514397" w:rsidP="00514397">
            <w:pPr>
              <w:pStyle w:val="ListParagraph"/>
            </w:pPr>
            <w:r w:rsidRPr="00805AD0">
              <w:t xml:space="preserve">Évolution du </w:t>
            </w:r>
            <w:r w:rsidRPr="00805AD0">
              <w:rPr>
                <w:b/>
              </w:rPr>
              <w:t xml:space="preserve">milieu du commerce électronique </w:t>
            </w:r>
            <w:r w:rsidRPr="002A2DB3">
              <w:rPr>
                <w:b/>
              </w:rPr>
              <w:br/>
            </w:r>
            <w:r w:rsidRPr="00805AD0">
              <w:rPr>
                <w:b/>
              </w:rPr>
              <w:t>de détail</w:t>
            </w:r>
          </w:p>
          <w:p w14:paraId="2AC64C27" w14:textId="77777777" w:rsidR="00514397" w:rsidRPr="00805AD0" w:rsidRDefault="00514397" w:rsidP="00514397">
            <w:pPr>
              <w:pStyle w:val="ListParagraph"/>
            </w:pPr>
            <w:r w:rsidRPr="00805AD0">
              <w:t>Concepts et stratégies de la</w:t>
            </w:r>
            <w:r w:rsidRPr="00805AD0">
              <w:rPr>
                <w:b/>
              </w:rPr>
              <w:t xml:space="preserve"> commercialisation Web</w:t>
            </w:r>
          </w:p>
          <w:p w14:paraId="14643F79" w14:textId="77777777" w:rsidR="00514397" w:rsidRPr="00805AD0" w:rsidRDefault="00514397" w:rsidP="00514397">
            <w:pPr>
              <w:pStyle w:val="ListParagraph"/>
            </w:pPr>
            <w:r w:rsidRPr="00805AD0">
              <w:t xml:space="preserve">Stratégies de commercialisation éthique </w:t>
            </w:r>
          </w:p>
          <w:p w14:paraId="64E3CD7C" w14:textId="77777777" w:rsidR="00514397" w:rsidRPr="00805AD0" w:rsidRDefault="00514397" w:rsidP="00514397">
            <w:pPr>
              <w:pStyle w:val="ListParagraph"/>
            </w:pPr>
            <w:r w:rsidRPr="00805AD0">
              <w:rPr>
                <w:b/>
              </w:rPr>
              <w:t xml:space="preserve">Canaux de distribution </w:t>
            </w:r>
            <w:r w:rsidRPr="00805AD0">
              <w:t xml:space="preserve">des entreprises numériques </w:t>
            </w:r>
          </w:p>
          <w:p w14:paraId="124F07A9" w14:textId="77777777" w:rsidR="00514397" w:rsidRPr="00805AD0" w:rsidRDefault="00514397" w:rsidP="00514397">
            <w:pPr>
              <w:pStyle w:val="ListParagraph"/>
            </w:pPr>
            <w:r w:rsidRPr="00805AD0">
              <w:t xml:space="preserve">Fourniture électronique de biens et de services </w:t>
            </w:r>
          </w:p>
          <w:p w14:paraId="7CE58A4D" w14:textId="77777777" w:rsidR="00514397" w:rsidRPr="00805AD0" w:rsidRDefault="00514397" w:rsidP="00514397">
            <w:pPr>
              <w:pStyle w:val="ListParagraph"/>
            </w:pPr>
            <w:r w:rsidRPr="00805AD0">
              <w:t>Technologies numériques et infonuagiques</w:t>
            </w:r>
          </w:p>
          <w:p w14:paraId="03C90176" w14:textId="48DF64F5" w:rsidR="0024696F" w:rsidRPr="002A2DB3" w:rsidRDefault="00514397" w:rsidP="00514397">
            <w:pPr>
              <w:pStyle w:val="ListParagraph"/>
              <w:rPr>
                <w:rFonts w:cstheme="majorHAnsi"/>
              </w:rPr>
            </w:pPr>
            <w:r w:rsidRPr="00805AD0">
              <w:rPr>
                <w:rFonts w:cstheme="majorHAnsi"/>
                <w:b/>
                <w:bCs/>
              </w:rPr>
              <w:t xml:space="preserve">Compétences relationnelles et habiletés </w:t>
            </w:r>
            <w:r w:rsidRPr="002A2DB3">
              <w:rPr>
                <w:rFonts w:cstheme="majorHAnsi"/>
                <w:b/>
                <w:bCs/>
              </w:rPr>
              <w:br/>
            </w:r>
            <w:r w:rsidRPr="00805AD0">
              <w:rPr>
                <w:rFonts w:cstheme="majorHAnsi"/>
                <w:b/>
                <w:bCs/>
              </w:rPr>
              <w:t xml:space="preserve">de présentation </w:t>
            </w:r>
            <w:r w:rsidRPr="00805AD0">
              <w:rPr>
                <w:rFonts w:cstheme="majorHAnsi"/>
                <w:bCs/>
              </w:rPr>
              <w:t xml:space="preserve">pour la promotion des produits </w:t>
            </w:r>
            <w:r w:rsidRPr="002A2DB3">
              <w:rPr>
                <w:rFonts w:cstheme="majorHAnsi"/>
                <w:bCs/>
              </w:rPr>
              <w:br/>
            </w:r>
            <w:r w:rsidRPr="00805AD0">
              <w:rPr>
                <w:rFonts w:cstheme="majorHAnsi"/>
                <w:bCs/>
              </w:rPr>
              <w:t>ou des services, ainsi que pour les communications avec les clients potentiels</w:t>
            </w:r>
          </w:p>
        </w:tc>
      </w:tr>
    </w:tbl>
    <w:p w14:paraId="1524A218" w14:textId="6A3BF5E5" w:rsidR="00023C18" w:rsidRPr="002A2DB3" w:rsidRDefault="00023C18" w:rsidP="00A50BF5">
      <w:pPr>
        <w:pageBreakBefore/>
        <w:pBdr>
          <w:bottom w:val="single" w:sz="4" w:space="4" w:color="auto"/>
        </w:pBdr>
        <w:tabs>
          <w:tab w:val="left" w:pos="4644"/>
          <w:tab w:val="right" w:pos="14232"/>
        </w:tabs>
        <w:ind w:left="1368" w:right="-112"/>
        <w:rPr>
          <w:b/>
          <w:sz w:val="28"/>
        </w:rPr>
      </w:pPr>
      <w:r w:rsidRPr="002A2DB3">
        <w:rPr>
          <w:noProof/>
          <w:szCs w:val="20"/>
          <w:lang w:val="en-CA" w:eastAsia="en-CA"/>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DB3">
        <w:rPr>
          <w:b/>
          <w:sz w:val="28"/>
        </w:rPr>
        <w:t xml:space="preserve">Domaine d’apprentissage : </w:t>
      </w:r>
      <w:r w:rsidR="00E455DB" w:rsidRPr="002A2DB3">
        <w:rPr>
          <w:b/>
          <w:caps/>
          <w:sz w:val="28"/>
        </w:rPr>
        <w:t xml:space="preserve">Conception, compétences pratiques </w:t>
      </w:r>
      <w:r w:rsidR="00E455DB" w:rsidRPr="002A2DB3">
        <w:rPr>
          <w:b/>
          <w:caps/>
          <w:sz w:val="28"/>
        </w:rPr>
        <w:br/>
      </w:r>
      <w:r w:rsidR="00E455DB" w:rsidRPr="002A2DB3">
        <w:rPr>
          <w:b/>
          <w:caps/>
          <w:sz w:val="28"/>
        </w:rPr>
        <w:tab/>
        <w:t>Et technologies</w:t>
      </w:r>
      <w:r w:rsidR="00E455DB" w:rsidRPr="002A2DB3">
        <w:rPr>
          <w:b/>
          <w:sz w:val="28"/>
        </w:rPr>
        <w:t xml:space="preserve"> — </w:t>
      </w:r>
      <w:r w:rsidR="00514397" w:rsidRPr="002A2DB3">
        <w:rPr>
          <w:b/>
          <w:sz w:val="28"/>
        </w:rPr>
        <w:t>Commerce électronique</w:t>
      </w:r>
      <w:r w:rsidRPr="002A2DB3">
        <w:rPr>
          <w:b/>
          <w:sz w:val="28"/>
        </w:rPr>
        <w:tab/>
      </w:r>
      <w:r w:rsidR="00A50BF5" w:rsidRPr="002A2DB3">
        <w:rPr>
          <w:b/>
          <w:bCs/>
          <w:sz w:val="28"/>
        </w:rPr>
        <w:t>12</w:t>
      </w:r>
      <w:r w:rsidRPr="002A2DB3">
        <w:rPr>
          <w:b/>
          <w:bCs/>
          <w:position w:val="6"/>
          <w:sz w:val="20"/>
          <w:szCs w:val="20"/>
        </w:rPr>
        <w:t>e</w:t>
      </w:r>
      <w:r w:rsidRPr="002A2DB3">
        <w:rPr>
          <w:b/>
          <w:bCs/>
          <w:sz w:val="28"/>
        </w:rPr>
        <w:t xml:space="preserve"> année</w:t>
      </w:r>
    </w:p>
    <w:p w14:paraId="1BA8EA2A" w14:textId="16321D46" w:rsidR="00362A29" w:rsidRPr="002A2DB3" w:rsidRDefault="00362A29" w:rsidP="00023C18">
      <w:pPr>
        <w:tabs>
          <w:tab w:val="right" w:pos="14232"/>
        </w:tabs>
        <w:ind w:left="1368" w:right="-112"/>
      </w:pPr>
    </w:p>
    <w:p w14:paraId="1658F336" w14:textId="1F1E9605" w:rsidR="0018557D" w:rsidRPr="002A2DB3" w:rsidRDefault="00E11BAF" w:rsidP="009E3F9B">
      <w:pPr>
        <w:spacing w:after="160"/>
        <w:jc w:val="center"/>
        <w:outlineLvl w:val="0"/>
        <w:rPr>
          <w:b/>
          <w:sz w:val="28"/>
          <w:szCs w:val="22"/>
        </w:rPr>
      </w:pPr>
      <w:r w:rsidRPr="002A2DB3">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gridCol w:w="5795"/>
      </w:tblGrid>
      <w:tr w:rsidR="00834179" w:rsidRPr="002A2DB3" w14:paraId="2367A8FA" w14:textId="77777777" w:rsidTr="00A50BF5">
        <w:tc>
          <w:tcPr>
            <w:tcW w:w="2979"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2A2DB3" w:rsidRDefault="00E11BAF" w:rsidP="009E3F9B">
            <w:pPr>
              <w:spacing w:before="60" w:after="60"/>
              <w:rPr>
                <w:b/>
                <w:szCs w:val="22"/>
              </w:rPr>
            </w:pPr>
            <w:r w:rsidRPr="002A2DB3">
              <w:rPr>
                <w:b/>
                <w:szCs w:val="22"/>
              </w:rPr>
              <w:t>Compétences disciplinaires</w:t>
            </w:r>
          </w:p>
        </w:tc>
        <w:tc>
          <w:tcPr>
            <w:tcW w:w="2021"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2A2DB3" w:rsidRDefault="00E11BAF" w:rsidP="009E3F9B">
            <w:pPr>
              <w:spacing w:before="60" w:after="60"/>
              <w:rPr>
                <w:b/>
                <w:szCs w:val="22"/>
              </w:rPr>
            </w:pPr>
            <w:r w:rsidRPr="002A2DB3">
              <w:rPr>
                <w:b/>
                <w:color w:val="FFFFFF" w:themeColor="background1"/>
                <w:szCs w:val="22"/>
              </w:rPr>
              <w:t>Contenu</w:t>
            </w:r>
          </w:p>
        </w:tc>
      </w:tr>
      <w:tr w:rsidR="00834179" w:rsidRPr="002A2DB3" w14:paraId="522264D9" w14:textId="77777777" w:rsidTr="00A50BF5">
        <w:trPr>
          <w:trHeight w:val="484"/>
        </w:trPr>
        <w:tc>
          <w:tcPr>
            <w:tcW w:w="2979" w:type="pct"/>
            <w:tcBorders>
              <w:top w:val="single" w:sz="2" w:space="0" w:color="auto"/>
              <w:left w:val="single" w:sz="2" w:space="0" w:color="auto"/>
              <w:bottom w:val="single" w:sz="2" w:space="0" w:color="auto"/>
              <w:right w:val="single" w:sz="2" w:space="0" w:color="auto"/>
            </w:tcBorders>
            <w:shd w:val="clear" w:color="auto" w:fill="auto"/>
          </w:tcPr>
          <w:p w14:paraId="43EC3C4A" w14:textId="77777777" w:rsidR="00514397" w:rsidRPr="00805AD0" w:rsidRDefault="00514397" w:rsidP="00514397">
            <w:pPr>
              <w:pStyle w:val="TopicSubItalics"/>
            </w:pPr>
            <w:proofErr w:type="spellStart"/>
            <w:r w:rsidRPr="00805AD0">
              <w:t>Prototypage</w:t>
            </w:r>
            <w:proofErr w:type="spellEnd"/>
            <w:r w:rsidRPr="00805AD0">
              <w:tab/>
            </w:r>
          </w:p>
          <w:p w14:paraId="58D1AFE8" w14:textId="77777777" w:rsidR="00514397" w:rsidRPr="00805AD0" w:rsidRDefault="00514397" w:rsidP="00514397">
            <w:pPr>
              <w:pStyle w:val="ListParagraph"/>
            </w:pPr>
            <w:r w:rsidRPr="00805AD0">
              <w:t xml:space="preserve">Choisir, analyser de manière critique et utiliser une variété de </w:t>
            </w:r>
            <w:r w:rsidRPr="00805AD0">
              <w:rPr>
                <w:b/>
              </w:rPr>
              <w:t>sources d’inspiration</w:t>
            </w:r>
            <w:r w:rsidRPr="00805AD0">
              <w:t xml:space="preserve"> et de </w:t>
            </w:r>
            <w:r w:rsidRPr="00805AD0">
              <w:rPr>
                <w:b/>
              </w:rPr>
              <w:t xml:space="preserve">sources d’information </w:t>
            </w:r>
          </w:p>
          <w:p w14:paraId="7F564CFD" w14:textId="3AB9ADF2" w:rsidR="00514397" w:rsidRPr="00805AD0" w:rsidRDefault="00514397" w:rsidP="00514397">
            <w:pPr>
              <w:pStyle w:val="ListParagraph"/>
            </w:pPr>
            <w:r w:rsidRPr="00805AD0">
              <w:t xml:space="preserve">Choisir la forme et le degré de précision adéquats pour le développement </w:t>
            </w:r>
            <w:r w:rsidRPr="002A2DB3">
              <w:br/>
            </w:r>
            <w:r w:rsidRPr="00805AD0">
              <w:t>des prototypes</w:t>
            </w:r>
          </w:p>
          <w:p w14:paraId="2CD493D3" w14:textId="0052E4D9" w:rsidR="00514397" w:rsidRPr="00805AD0" w:rsidRDefault="00514397" w:rsidP="00514397">
            <w:pPr>
              <w:pStyle w:val="ListParagraph"/>
            </w:pPr>
            <w:r w:rsidRPr="00805AD0">
              <w:t xml:space="preserve">Prévoir des procédures qui permettent de développer des prototypes pour </w:t>
            </w:r>
            <w:r w:rsidRPr="002A2DB3">
              <w:br/>
            </w:r>
            <w:r w:rsidRPr="00805AD0">
              <w:t xml:space="preserve">plusieurs idées </w:t>
            </w:r>
          </w:p>
          <w:p w14:paraId="7237E0B0" w14:textId="77777777" w:rsidR="00514397" w:rsidRPr="00805AD0" w:rsidRDefault="00514397" w:rsidP="00514397">
            <w:pPr>
              <w:pStyle w:val="ListParagraph"/>
              <w:rPr>
                <w:b/>
              </w:rPr>
            </w:pPr>
            <w:r w:rsidRPr="00805AD0">
              <w:t xml:space="preserve">Analyser la </w:t>
            </w:r>
            <w:r w:rsidRPr="00805AD0">
              <w:rPr>
                <w:b/>
              </w:rPr>
              <w:t>conception axée sur le cycle de vie</w:t>
            </w:r>
            <w:r w:rsidRPr="00805AD0">
              <w:t xml:space="preserve"> du produit</w:t>
            </w:r>
            <w:r w:rsidRPr="00805AD0">
              <w:rPr>
                <w:b/>
              </w:rPr>
              <w:t xml:space="preserve"> </w:t>
            </w:r>
          </w:p>
          <w:p w14:paraId="64B3B460" w14:textId="07221AB3" w:rsidR="00514397" w:rsidRPr="00805AD0" w:rsidRDefault="00514397" w:rsidP="00514397">
            <w:pPr>
              <w:pStyle w:val="ListParagraph"/>
            </w:pPr>
            <w:r w:rsidRPr="00805AD0">
              <w:t xml:space="preserve">Développer les prototypes, en changeant, s’il le faut, les outils, les matériaux </w:t>
            </w:r>
            <w:r w:rsidRPr="002A2DB3">
              <w:br/>
            </w:r>
            <w:r w:rsidRPr="00805AD0">
              <w:t>et les méthodes</w:t>
            </w:r>
          </w:p>
          <w:p w14:paraId="5D1BAB34" w14:textId="77777777" w:rsidR="00514397" w:rsidRPr="00805AD0" w:rsidRDefault="00514397" w:rsidP="00514397">
            <w:pPr>
              <w:pStyle w:val="ListParagraph"/>
            </w:pPr>
            <w:r w:rsidRPr="00805AD0">
              <w:t xml:space="preserve">Consigner les réalisations des </w:t>
            </w:r>
            <w:r w:rsidRPr="00805AD0">
              <w:rPr>
                <w:b/>
              </w:rPr>
              <w:t>versions successives</w:t>
            </w:r>
            <w:r w:rsidRPr="00805AD0">
              <w:t xml:space="preserve"> du prototype</w:t>
            </w:r>
          </w:p>
          <w:p w14:paraId="0983CC0D" w14:textId="77777777" w:rsidR="00514397" w:rsidRPr="00805AD0" w:rsidRDefault="00514397" w:rsidP="00514397">
            <w:pPr>
              <w:pStyle w:val="TopicSubItalics"/>
            </w:pPr>
            <w:proofErr w:type="spellStart"/>
            <w:r w:rsidRPr="00805AD0">
              <w:t>Mettre</w:t>
            </w:r>
            <w:proofErr w:type="spellEnd"/>
            <w:r w:rsidRPr="00805AD0">
              <w:t xml:space="preserve"> à </w:t>
            </w:r>
            <w:proofErr w:type="spellStart"/>
            <w:r w:rsidRPr="00805AD0">
              <w:t>l’essai</w:t>
            </w:r>
            <w:proofErr w:type="spellEnd"/>
          </w:p>
          <w:p w14:paraId="2037C041" w14:textId="4266EB8B" w:rsidR="00514397" w:rsidRPr="00805AD0" w:rsidRDefault="00514397" w:rsidP="00514397">
            <w:pPr>
              <w:pStyle w:val="ListParagraph"/>
              <w:rPr>
                <w:rFonts w:cs="Lucida Grande"/>
              </w:rPr>
            </w:pPr>
            <w:r w:rsidRPr="00805AD0">
              <w:t xml:space="preserve">Solliciter, initialement puis de façon continue, une rétroaction critique auprès </w:t>
            </w:r>
            <w:r w:rsidRPr="002A2DB3">
              <w:br/>
            </w:r>
            <w:r w:rsidRPr="00805AD0">
              <w:t xml:space="preserve">de </w:t>
            </w:r>
            <w:r w:rsidRPr="00805AD0">
              <w:rPr>
                <w:b/>
              </w:rPr>
              <w:t>sources</w:t>
            </w:r>
            <w:r w:rsidRPr="00805AD0">
              <w:t xml:space="preserve"> multiples, puis évaluer la rétroaction</w:t>
            </w:r>
          </w:p>
          <w:p w14:paraId="15D73391" w14:textId="77777777" w:rsidR="00514397" w:rsidRPr="00805AD0" w:rsidRDefault="00514397" w:rsidP="00514397">
            <w:pPr>
              <w:pStyle w:val="ListParagraph"/>
              <w:rPr>
                <w:rFonts w:cs="Lucida Grande"/>
              </w:rPr>
            </w:pPr>
            <w:r w:rsidRPr="00805AD0">
              <w:t xml:space="preserve">Concevoir une </w:t>
            </w:r>
            <w:r w:rsidRPr="00805AD0">
              <w:rPr>
                <w:b/>
              </w:rPr>
              <w:t>procédure d’essai adéquate</w:t>
            </w:r>
            <w:r w:rsidRPr="00805AD0">
              <w:t xml:space="preserve"> pour le prototype</w:t>
            </w:r>
          </w:p>
          <w:p w14:paraId="7BE1ECC2" w14:textId="0167034A" w:rsidR="00514397" w:rsidRPr="00805AD0" w:rsidRDefault="00514397" w:rsidP="00514397">
            <w:pPr>
              <w:pStyle w:val="ListParagraph"/>
            </w:pPr>
            <w:r w:rsidRPr="00805AD0">
              <w:t xml:space="preserve">Après l’évaluation de la rétroaction, modifier au besoin la conception du produit </w:t>
            </w:r>
            <w:r w:rsidRPr="002A2DB3">
              <w:br/>
            </w:r>
            <w:r w:rsidRPr="00805AD0">
              <w:t>ou les procédés</w:t>
            </w:r>
          </w:p>
          <w:p w14:paraId="2544B954" w14:textId="77777777" w:rsidR="00514397" w:rsidRPr="00805AD0" w:rsidRDefault="00514397" w:rsidP="00514397">
            <w:pPr>
              <w:pStyle w:val="ListParagraph"/>
            </w:pPr>
            <w:r w:rsidRPr="00805AD0">
              <w:t>Poursuivre le prototypage ou abandonner le concept</w:t>
            </w:r>
          </w:p>
          <w:p w14:paraId="58867FE4" w14:textId="77777777" w:rsidR="00514397" w:rsidRPr="00805AD0" w:rsidRDefault="00514397" w:rsidP="00514397">
            <w:pPr>
              <w:pStyle w:val="TopicSubItalics"/>
            </w:pPr>
            <w:proofErr w:type="spellStart"/>
            <w:r w:rsidRPr="00805AD0">
              <w:t>Réaliser</w:t>
            </w:r>
            <w:proofErr w:type="spellEnd"/>
          </w:p>
          <w:p w14:paraId="3AE52665" w14:textId="77777777" w:rsidR="00514397" w:rsidRPr="00805AD0" w:rsidRDefault="00514397" w:rsidP="00514397">
            <w:pPr>
              <w:pStyle w:val="ListParagraph"/>
            </w:pPr>
            <w:r w:rsidRPr="00805AD0">
              <w:t xml:space="preserve">Déterminer les outils, les technologies, les matériaux, les procédés et le temps nécessaires à l’élaboration et à la mise en œuvre </w:t>
            </w:r>
          </w:p>
          <w:p w14:paraId="03FEBEFF" w14:textId="77777777" w:rsidR="00514397" w:rsidRPr="00805AD0" w:rsidRDefault="00514397" w:rsidP="00514397">
            <w:pPr>
              <w:pStyle w:val="ListParagraph"/>
            </w:pPr>
            <w:r w:rsidRPr="00805AD0">
              <w:t xml:space="preserve">Recourir à des </w:t>
            </w:r>
            <w:r w:rsidRPr="00805AD0">
              <w:rPr>
                <w:b/>
              </w:rPr>
              <w:t>processus de gestion de projet</w:t>
            </w:r>
            <w:r w:rsidRPr="00805AD0">
              <w:t xml:space="preserve"> pour le travail seul ou en équipe, ainsi que pour l’établissement des procédés et le développement des produits</w:t>
            </w:r>
          </w:p>
          <w:p w14:paraId="5EF1E8FE" w14:textId="67F5E33B" w:rsidR="00514397" w:rsidRPr="00805AD0" w:rsidRDefault="00514397" w:rsidP="00514397">
            <w:pPr>
              <w:pStyle w:val="ListParagraph"/>
            </w:pPr>
            <w:r w:rsidRPr="00805AD0">
              <w:t xml:space="preserve">Communiquer ses progrès afin de multiplier les occasions de rétroaction, </w:t>
            </w:r>
            <w:r w:rsidRPr="002A2DB3">
              <w:br/>
            </w:r>
            <w:r w:rsidRPr="00805AD0">
              <w:t>de collaboration et, s’il y a lieu, de commercialisation</w:t>
            </w:r>
          </w:p>
          <w:p w14:paraId="0184467F" w14:textId="77777777" w:rsidR="00514397" w:rsidRPr="00805AD0" w:rsidRDefault="00514397" w:rsidP="00514397">
            <w:pPr>
              <w:pStyle w:val="TopicSubItalics"/>
            </w:pPr>
            <w:proofErr w:type="spellStart"/>
            <w:r w:rsidRPr="00805AD0">
              <w:t>Présenter</w:t>
            </w:r>
            <w:proofErr w:type="spellEnd"/>
          </w:p>
          <w:p w14:paraId="287E313D" w14:textId="5F1B34DC" w:rsidR="00334E04" w:rsidRPr="002A2DB3" w:rsidRDefault="00514397" w:rsidP="00514397">
            <w:pPr>
              <w:pStyle w:val="ListParagraph"/>
              <w:spacing w:after="120"/>
            </w:pPr>
            <w:r w:rsidRPr="00805AD0">
              <w:t xml:space="preserve">Décider comment et à qui </w:t>
            </w:r>
            <w:r w:rsidRPr="00805AD0">
              <w:rPr>
                <w:b/>
              </w:rPr>
              <w:t>présenter</w:t>
            </w:r>
            <w:r w:rsidRPr="00805AD0">
              <w:t xml:space="preserve"> son </w:t>
            </w:r>
            <w:r w:rsidRPr="00805AD0">
              <w:rPr>
                <w:b/>
              </w:rPr>
              <w:t>produit</w:t>
            </w:r>
            <w:r w:rsidRPr="00805AD0">
              <w:t xml:space="preserve">, ses créations et, s’il y a lieu, </w:t>
            </w:r>
            <w:r w:rsidRPr="002A2DB3">
              <w:br/>
            </w:r>
            <w:r w:rsidRPr="00805AD0">
              <w:t xml:space="preserve">sa </w:t>
            </w:r>
            <w:r w:rsidRPr="00805AD0">
              <w:rPr>
                <w:b/>
              </w:rPr>
              <w:t>propriété intellectuelle</w:t>
            </w:r>
            <w:r w:rsidRPr="00805AD0">
              <w:t>, et auprès de qui les promouvoir</w:t>
            </w:r>
          </w:p>
        </w:tc>
        <w:tc>
          <w:tcPr>
            <w:tcW w:w="2021" w:type="pct"/>
            <w:tcBorders>
              <w:top w:val="single" w:sz="2" w:space="0" w:color="auto"/>
              <w:left w:val="single" w:sz="2" w:space="0" w:color="auto"/>
              <w:bottom w:val="single" w:sz="2" w:space="0" w:color="auto"/>
              <w:right w:val="single" w:sz="2" w:space="0" w:color="auto"/>
            </w:tcBorders>
            <w:shd w:val="clear" w:color="auto" w:fill="auto"/>
          </w:tcPr>
          <w:p w14:paraId="0B10FFA7" w14:textId="262C71AD" w:rsidR="00514397" w:rsidRPr="002A2DB3" w:rsidRDefault="00514397" w:rsidP="00514397">
            <w:pPr>
              <w:pStyle w:val="ListParagraph"/>
              <w:spacing w:before="120"/>
            </w:pPr>
            <w:bookmarkStart w:id="16" w:name="lt_pId087"/>
            <w:bookmarkStart w:id="17" w:name="lt_pId088"/>
            <w:r w:rsidRPr="002A2DB3">
              <w:t>Pratiques sectorielles exemplaires</w:t>
            </w:r>
            <w:bookmarkEnd w:id="16"/>
          </w:p>
          <w:p w14:paraId="28911199" w14:textId="77777777" w:rsidR="00514397" w:rsidRPr="00805AD0" w:rsidRDefault="00514397" w:rsidP="00514397">
            <w:pPr>
              <w:pStyle w:val="ListParagraph"/>
            </w:pPr>
            <w:r w:rsidRPr="002A2DB3">
              <w:t>Nouvelles possibilités de carrière dans le secteur numérique et pour les jeunes entrepreneurs</w:t>
            </w:r>
            <w:bookmarkEnd w:id="17"/>
          </w:p>
          <w:p w14:paraId="28E41C67" w14:textId="605CD972" w:rsidR="007904B5" w:rsidRPr="002A2DB3" w:rsidRDefault="00514397" w:rsidP="00514397">
            <w:pPr>
              <w:pStyle w:val="ListParagraph"/>
              <w:spacing w:after="120"/>
              <w:rPr>
                <w:lang w:eastAsia="ja-JP"/>
              </w:rPr>
            </w:pPr>
            <w:bookmarkStart w:id="18" w:name="lt_pId089"/>
            <w:r w:rsidRPr="00805AD0">
              <w:t>Considérations éthiques concernant l’</w:t>
            </w:r>
            <w:r w:rsidRPr="00805AD0">
              <w:rPr>
                <w:b/>
              </w:rPr>
              <w:t>appropriation culturelle</w:t>
            </w:r>
            <w:r w:rsidRPr="00805AD0">
              <w:t xml:space="preserve"> et le plagiat</w:t>
            </w:r>
            <w:bookmarkEnd w:id="18"/>
          </w:p>
        </w:tc>
      </w:tr>
    </w:tbl>
    <w:p w14:paraId="527BAA69" w14:textId="77B45077" w:rsidR="00834179" w:rsidRPr="002A2DB3" w:rsidRDefault="00834179" w:rsidP="00A50BF5">
      <w:pPr>
        <w:pageBreakBefore/>
        <w:pBdr>
          <w:bottom w:val="single" w:sz="4" w:space="4" w:color="auto"/>
        </w:pBdr>
        <w:tabs>
          <w:tab w:val="left" w:pos="4644"/>
          <w:tab w:val="right" w:pos="14232"/>
        </w:tabs>
        <w:ind w:left="1368" w:right="-112"/>
        <w:rPr>
          <w:b/>
          <w:sz w:val="28"/>
        </w:rPr>
      </w:pPr>
      <w:r w:rsidRPr="002A2DB3">
        <w:rPr>
          <w:noProof/>
          <w:szCs w:val="20"/>
          <w:lang w:val="en-CA" w:eastAsia="en-CA"/>
        </w:rPr>
        <w:drawing>
          <wp:anchor distT="0" distB="0" distL="114300" distR="114300" simplePos="0" relativeHeight="251668992" behindDoc="0" locked="0" layoutInCell="1" allowOverlap="1" wp14:anchorId="7DF22B91" wp14:editId="4E7E48B8">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DB3">
        <w:rPr>
          <w:b/>
          <w:sz w:val="28"/>
        </w:rPr>
        <w:t xml:space="preserve">Domaine d’apprentissage : </w:t>
      </w:r>
      <w:r w:rsidRPr="002A2DB3">
        <w:rPr>
          <w:b/>
          <w:caps/>
          <w:sz w:val="28"/>
        </w:rPr>
        <w:t xml:space="preserve">Conception, compétences pratiques </w:t>
      </w:r>
      <w:r w:rsidRPr="002A2DB3">
        <w:rPr>
          <w:b/>
          <w:caps/>
          <w:sz w:val="28"/>
        </w:rPr>
        <w:br/>
      </w:r>
      <w:r w:rsidRPr="002A2DB3">
        <w:rPr>
          <w:b/>
          <w:caps/>
          <w:sz w:val="28"/>
        </w:rPr>
        <w:tab/>
        <w:t>Et technologies</w:t>
      </w:r>
      <w:r w:rsidRPr="002A2DB3">
        <w:rPr>
          <w:b/>
          <w:sz w:val="28"/>
        </w:rPr>
        <w:t xml:space="preserve"> — </w:t>
      </w:r>
      <w:r w:rsidR="00514397" w:rsidRPr="002A2DB3">
        <w:rPr>
          <w:b/>
          <w:sz w:val="28"/>
        </w:rPr>
        <w:t>Commerce électronique</w:t>
      </w:r>
      <w:r w:rsidRPr="002A2DB3">
        <w:rPr>
          <w:b/>
          <w:sz w:val="28"/>
        </w:rPr>
        <w:tab/>
      </w:r>
      <w:r w:rsidR="00A50BF5" w:rsidRPr="002A2DB3">
        <w:rPr>
          <w:b/>
          <w:bCs/>
          <w:sz w:val="28"/>
        </w:rPr>
        <w:t>12</w:t>
      </w:r>
      <w:r w:rsidRPr="002A2DB3">
        <w:rPr>
          <w:b/>
          <w:bCs/>
          <w:position w:val="6"/>
          <w:sz w:val="20"/>
          <w:szCs w:val="20"/>
        </w:rPr>
        <w:t>e</w:t>
      </w:r>
      <w:r w:rsidRPr="002A2DB3">
        <w:rPr>
          <w:b/>
          <w:bCs/>
          <w:sz w:val="28"/>
        </w:rPr>
        <w:t xml:space="preserve"> année</w:t>
      </w:r>
    </w:p>
    <w:p w14:paraId="6D455416" w14:textId="77777777" w:rsidR="00834179" w:rsidRPr="002A2DB3" w:rsidRDefault="00834179" w:rsidP="00834179">
      <w:pPr>
        <w:tabs>
          <w:tab w:val="right" w:pos="14232"/>
        </w:tabs>
        <w:ind w:left="1368" w:right="-112"/>
      </w:pPr>
    </w:p>
    <w:p w14:paraId="17B7B6F2" w14:textId="77777777" w:rsidR="00834179" w:rsidRPr="002A2DB3" w:rsidRDefault="00834179" w:rsidP="00834179">
      <w:pPr>
        <w:spacing w:after="160"/>
        <w:jc w:val="center"/>
        <w:outlineLvl w:val="0"/>
        <w:rPr>
          <w:b/>
          <w:sz w:val="28"/>
          <w:szCs w:val="22"/>
        </w:rPr>
      </w:pPr>
      <w:r w:rsidRPr="002A2DB3">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9"/>
        <w:gridCol w:w="5797"/>
      </w:tblGrid>
      <w:tr w:rsidR="005A71C7" w:rsidRPr="002A2DB3" w14:paraId="4F210518" w14:textId="77777777" w:rsidTr="00514397">
        <w:tc>
          <w:tcPr>
            <w:tcW w:w="2978" w:type="pct"/>
            <w:tcBorders>
              <w:top w:val="single" w:sz="2" w:space="0" w:color="auto"/>
              <w:left w:val="single" w:sz="2" w:space="0" w:color="auto"/>
              <w:bottom w:val="single" w:sz="2" w:space="0" w:color="auto"/>
              <w:right w:val="single" w:sz="2" w:space="0" w:color="auto"/>
            </w:tcBorders>
            <w:shd w:val="clear" w:color="auto" w:fill="333333"/>
          </w:tcPr>
          <w:p w14:paraId="17E149DC" w14:textId="77777777" w:rsidR="00834179" w:rsidRPr="002A2DB3" w:rsidRDefault="00834179" w:rsidP="00F259FB">
            <w:pPr>
              <w:spacing w:before="60" w:after="60"/>
              <w:rPr>
                <w:b/>
                <w:szCs w:val="22"/>
              </w:rPr>
            </w:pPr>
            <w:r w:rsidRPr="002A2DB3">
              <w:rPr>
                <w:b/>
                <w:szCs w:val="22"/>
              </w:rPr>
              <w:t>Compétences disciplinaires</w:t>
            </w:r>
          </w:p>
        </w:tc>
        <w:tc>
          <w:tcPr>
            <w:tcW w:w="2022" w:type="pct"/>
            <w:tcBorders>
              <w:top w:val="single" w:sz="2" w:space="0" w:color="auto"/>
              <w:left w:val="single" w:sz="2" w:space="0" w:color="auto"/>
              <w:bottom w:val="single" w:sz="2" w:space="0" w:color="auto"/>
              <w:right w:val="single" w:sz="2" w:space="0" w:color="auto"/>
            </w:tcBorders>
            <w:shd w:val="clear" w:color="auto" w:fill="778E96"/>
          </w:tcPr>
          <w:p w14:paraId="38DB4634" w14:textId="77777777" w:rsidR="00834179" w:rsidRPr="002A2DB3" w:rsidRDefault="00834179" w:rsidP="00F259FB">
            <w:pPr>
              <w:spacing w:before="60" w:after="60"/>
              <w:rPr>
                <w:b/>
                <w:szCs w:val="22"/>
              </w:rPr>
            </w:pPr>
            <w:r w:rsidRPr="002A2DB3">
              <w:rPr>
                <w:b/>
                <w:color w:val="FFFFFF" w:themeColor="background1"/>
                <w:szCs w:val="22"/>
              </w:rPr>
              <w:t>Contenu</w:t>
            </w:r>
          </w:p>
        </w:tc>
      </w:tr>
      <w:tr w:rsidR="00A50BF5" w:rsidRPr="002A2DB3" w14:paraId="03CBE60B" w14:textId="77777777" w:rsidTr="00514397">
        <w:tc>
          <w:tcPr>
            <w:tcW w:w="2978" w:type="pct"/>
            <w:tcBorders>
              <w:top w:val="single" w:sz="2" w:space="0" w:color="auto"/>
              <w:left w:val="single" w:sz="2" w:space="0" w:color="auto"/>
              <w:bottom w:val="single" w:sz="2" w:space="0" w:color="auto"/>
              <w:right w:val="single" w:sz="2" w:space="0" w:color="auto"/>
            </w:tcBorders>
            <w:shd w:val="clear" w:color="auto" w:fill="auto"/>
          </w:tcPr>
          <w:p w14:paraId="14004D6B" w14:textId="381CE993" w:rsidR="00514397" w:rsidRPr="00805AD0" w:rsidRDefault="00514397" w:rsidP="00514397">
            <w:pPr>
              <w:pStyle w:val="ListParagraph"/>
              <w:spacing w:before="120"/>
            </w:pPr>
            <w:r w:rsidRPr="00805AD0">
              <w:t xml:space="preserve">Réfléchir de manière critique à son processus mental et à ses méthodes </w:t>
            </w:r>
            <w:r w:rsidRPr="002A2DB3">
              <w:br/>
            </w:r>
            <w:r w:rsidRPr="00805AD0">
              <w:t>de conception, et dégager de nouveaux objectifs de conception, notamment la façon dont son concept peut être développé davantage par soi-même ou par d’autres</w:t>
            </w:r>
          </w:p>
          <w:p w14:paraId="6AA6CE39" w14:textId="77777777" w:rsidR="00514397" w:rsidRPr="00805AD0" w:rsidRDefault="00514397" w:rsidP="00514397">
            <w:pPr>
              <w:pStyle w:val="ListParagraph"/>
            </w:pPr>
            <w:r w:rsidRPr="00805AD0">
              <w:t>Évaluer de manière critique sa capacité à travailler efficacement seul et en groupe</w:t>
            </w:r>
          </w:p>
          <w:p w14:paraId="1C423E12" w14:textId="77777777" w:rsidR="00514397" w:rsidRPr="00805AD0" w:rsidRDefault="00514397" w:rsidP="00514397">
            <w:pPr>
              <w:pStyle w:val="Topic"/>
            </w:pPr>
            <w:r w:rsidRPr="00805AD0">
              <w:t>Compétences pratiques</w:t>
            </w:r>
          </w:p>
          <w:p w14:paraId="3453F874" w14:textId="77777777" w:rsidR="00514397" w:rsidRPr="00805AD0" w:rsidRDefault="00514397" w:rsidP="00514397">
            <w:pPr>
              <w:pStyle w:val="ListParagraph"/>
              <w:rPr>
                <w:b/>
              </w:rPr>
            </w:pPr>
            <w:r w:rsidRPr="00805AD0">
              <w:t xml:space="preserve">Évaluer les </w:t>
            </w:r>
            <w:r w:rsidRPr="00805AD0">
              <w:rPr>
                <w:b/>
              </w:rPr>
              <w:t>problèmes liés à la sécurité</w:t>
            </w:r>
            <w:r w:rsidRPr="00805AD0">
              <w:t>, pour sa propre protection, ainsi que celle de ses collègues et des utilisateurs, tant dans des milieux physiques que numériques</w:t>
            </w:r>
          </w:p>
          <w:p w14:paraId="146F51A9" w14:textId="60E89551" w:rsidR="00514397" w:rsidRPr="00805AD0" w:rsidRDefault="00514397" w:rsidP="00514397">
            <w:pPr>
              <w:pStyle w:val="ListParagraph"/>
              <w:rPr>
                <w:b/>
              </w:rPr>
            </w:pPr>
            <w:r w:rsidRPr="00805AD0">
              <w:t xml:space="preserve">Déterminer et évaluer de façon critique les compétences requises pour </w:t>
            </w:r>
            <w:r w:rsidRPr="002A2DB3">
              <w:br/>
            </w:r>
            <w:r w:rsidRPr="00805AD0">
              <w:t xml:space="preserve">le développement du ou des projets, ou encore pour la poursuite de ses intérêts </w:t>
            </w:r>
            <w:r w:rsidRPr="002A2DB3">
              <w:br/>
            </w:r>
            <w:r w:rsidRPr="00805AD0">
              <w:t>en matière de conception, et élaborer des plans précis pour l’acquisition de ces compétences ou leur développement à long terme</w:t>
            </w:r>
          </w:p>
          <w:p w14:paraId="0D9C79DE" w14:textId="77777777" w:rsidR="00514397" w:rsidRPr="00805AD0" w:rsidRDefault="00514397" w:rsidP="00514397">
            <w:pPr>
              <w:pStyle w:val="ListParagraph"/>
              <w:rPr>
                <w:b/>
              </w:rPr>
            </w:pPr>
            <w:r w:rsidRPr="00805AD0">
              <w:rPr>
                <w:rFonts w:cstheme="majorHAnsi"/>
              </w:rPr>
              <w:t xml:space="preserve">Évaluer et appliquer un </w:t>
            </w:r>
            <w:r w:rsidRPr="00805AD0">
              <w:rPr>
                <w:rFonts w:cstheme="majorHAnsi"/>
                <w:b/>
              </w:rPr>
              <w:t>cadre de travail</w:t>
            </w:r>
            <w:r w:rsidRPr="00805AD0">
              <w:rPr>
                <w:rFonts w:cstheme="majorHAnsi"/>
              </w:rPr>
              <w:t xml:space="preserve"> pour la résolution des problèmes et la prise de décisions</w:t>
            </w:r>
          </w:p>
          <w:p w14:paraId="46FBF956" w14:textId="77777777" w:rsidR="00514397" w:rsidRPr="00805AD0" w:rsidRDefault="00514397" w:rsidP="00514397">
            <w:pPr>
              <w:pStyle w:val="Topic"/>
            </w:pPr>
            <w:r w:rsidRPr="00805AD0">
              <w:t>Technologies</w:t>
            </w:r>
          </w:p>
          <w:p w14:paraId="4B994137" w14:textId="77777777" w:rsidR="00514397" w:rsidRPr="00805AD0" w:rsidRDefault="00514397" w:rsidP="00514397">
            <w:pPr>
              <w:pStyle w:val="ListParagraph"/>
            </w:pPr>
            <w:r w:rsidRPr="00805AD0">
              <w:t>Explorer les outils, les technologies et les systèmes existants et nouveaux, et évaluer leur pertinence pour le ou les projets envisagés</w:t>
            </w:r>
          </w:p>
          <w:p w14:paraId="5167C72D" w14:textId="55B526F5" w:rsidR="00514397" w:rsidRPr="00805AD0" w:rsidRDefault="00514397" w:rsidP="00514397">
            <w:pPr>
              <w:pStyle w:val="ListParagraph"/>
            </w:pPr>
            <w:r w:rsidRPr="00805AD0">
              <w:rPr>
                <w:rFonts w:cstheme="majorHAnsi"/>
              </w:rPr>
              <w:t xml:space="preserve">Évaluer les répercussions, y compris les conséquences négatives possibles, </w:t>
            </w:r>
            <w:r w:rsidRPr="002A2DB3">
              <w:rPr>
                <w:rFonts w:cstheme="majorHAnsi"/>
              </w:rPr>
              <w:br/>
            </w:r>
            <w:r w:rsidRPr="00805AD0">
              <w:rPr>
                <w:rFonts w:cstheme="majorHAnsi"/>
              </w:rPr>
              <w:t>de ses choix en matière de technologie</w:t>
            </w:r>
          </w:p>
          <w:p w14:paraId="1550EE47" w14:textId="39057F95" w:rsidR="00514397" w:rsidRPr="00805AD0" w:rsidRDefault="00514397" w:rsidP="00514397">
            <w:pPr>
              <w:pStyle w:val="ListParagraph"/>
            </w:pPr>
            <w:r w:rsidRPr="00805AD0">
              <w:t xml:space="preserve">Analyser le rôle que jouent les technologies dans le changement social, ainsi que </w:t>
            </w:r>
            <w:r w:rsidRPr="002A2DB3">
              <w:br/>
            </w:r>
            <w:r w:rsidRPr="00805AD0">
              <w:t xml:space="preserve">les répercussions sociales et environnementales des technologies et leur incidence sur les personnes et les relations interpersonnelles dans une perspective </w:t>
            </w:r>
            <w:r w:rsidRPr="002A2DB3">
              <w:br/>
            </w:r>
            <w:r w:rsidRPr="00805AD0">
              <w:t>de changement social</w:t>
            </w:r>
          </w:p>
          <w:p w14:paraId="61B5966E" w14:textId="22FC4A74" w:rsidR="00834179" w:rsidRPr="002A2DB3" w:rsidRDefault="00514397" w:rsidP="00514397">
            <w:pPr>
              <w:pStyle w:val="ListParagraph"/>
              <w:spacing w:after="120"/>
            </w:pPr>
            <w:r w:rsidRPr="00805AD0">
              <w:rPr>
                <w:rFonts w:cstheme="majorHAnsi"/>
              </w:rPr>
              <w:t xml:space="preserve">Examiner et analyser la manière dont les croyances culturelles, les valeurs </w:t>
            </w:r>
            <w:r w:rsidRPr="002A2DB3">
              <w:rPr>
                <w:rFonts w:cstheme="majorHAnsi"/>
              </w:rPr>
              <w:br/>
            </w:r>
            <w:r w:rsidRPr="00805AD0">
              <w:rPr>
                <w:rFonts w:cstheme="majorHAnsi"/>
              </w:rPr>
              <w:t>et les prises de position éthiques influent sur l’aspect économique du développement et l’utilisation des technologies à l’échelle nationale et mondiale</w:t>
            </w:r>
          </w:p>
        </w:tc>
        <w:tc>
          <w:tcPr>
            <w:tcW w:w="2022" w:type="pct"/>
            <w:tcBorders>
              <w:top w:val="single" w:sz="2" w:space="0" w:color="auto"/>
              <w:left w:val="single" w:sz="2" w:space="0" w:color="auto"/>
              <w:bottom w:val="single" w:sz="2" w:space="0" w:color="auto"/>
              <w:right w:val="single" w:sz="2" w:space="0" w:color="auto"/>
            </w:tcBorders>
            <w:shd w:val="clear" w:color="auto" w:fill="auto"/>
          </w:tcPr>
          <w:p w14:paraId="602EF077" w14:textId="758BAAD3" w:rsidR="00834179" w:rsidRPr="002A2DB3" w:rsidRDefault="00834179" w:rsidP="00834179"/>
        </w:tc>
      </w:tr>
    </w:tbl>
    <w:p w14:paraId="492F2C53" w14:textId="77777777" w:rsidR="00834179" w:rsidRPr="002A2DB3" w:rsidRDefault="00834179">
      <w:pPr>
        <w:rPr>
          <w:sz w:val="20"/>
          <w:szCs w:val="20"/>
        </w:rPr>
      </w:pPr>
    </w:p>
    <w:p w14:paraId="31C44AF0" w14:textId="4044DB2F" w:rsidR="00834179" w:rsidRPr="002A2DB3" w:rsidRDefault="00834179">
      <w:pPr>
        <w:rPr>
          <w:sz w:val="20"/>
          <w:szCs w:val="20"/>
        </w:rPr>
      </w:pPr>
      <w:r w:rsidRPr="002A2DB3">
        <w:rPr>
          <w:sz w:val="20"/>
          <w:szCs w:val="2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834179" w:rsidRPr="002A2DB3" w14:paraId="0F622A15" w14:textId="77777777" w:rsidTr="00F259FB">
        <w:trPr>
          <w:tblHeader/>
        </w:trPr>
        <w:tc>
          <w:tcPr>
            <w:tcW w:w="5000" w:type="pct"/>
            <w:shd w:val="clear" w:color="auto" w:fill="FEECBC"/>
            <w:tcMar>
              <w:top w:w="0" w:type="dxa"/>
              <w:bottom w:w="0" w:type="dxa"/>
            </w:tcMar>
          </w:tcPr>
          <w:p w14:paraId="7EF16FFD" w14:textId="54B9E342" w:rsidR="00834179" w:rsidRPr="002A2DB3" w:rsidRDefault="00834179" w:rsidP="00F259FB">
            <w:pPr>
              <w:pageBreakBefore/>
              <w:tabs>
                <w:tab w:val="right" w:pos="14000"/>
              </w:tabs>
              <w:spacing w:before="60" w:after="60"/>
              <w:rPr>
                <w:b/>
              </w:rPr>
            </w:pPr>
            <w:r w:rsidRPr="002A2DB3">
              <w:br w:type="page"/>
            </w:r>
            <w:r w:rsidRPr="002A2DB3">
              <w:br w:type="page"/>
            </w:r>
            <w:r w:rsidRPr="002A2DB3">
              <w:rPr>
                <w:b/>
              </w:rPr>
              <w:tab/>
            </w:r>
            <w:r w:rsidRPr="002A2DB3">
              <w:rPr>
                <w:b/>
                <w:caps/>
                <w:szCs w:val="22"/>
              </w:rPr>
              <w:t>Conception, compétences pratiques Et technologies</w:t>
            </w:r>
            <w:r w:rsidRPr="002A2DB3">
              <w:rPr>
                <w:b/>
                <w:szCs w:val="22"/>
              </w:rPr>
              <w:t xml:space="preserve"> — </w:t>
            </w:r>
            <w:r w:rsidR="00514397" w:rsidRPr="002A2DB3">
              <w:rPr>
                <w:b/>
                <w:szCs w:val="22"/>
              </w:rPr>
              <w:t>Commerce électronique</w:t>
            </w:r>
            <w:r w:rsidRPr="002A2DB3">
              <w:rPr>
                <w:b/>
                <w:sz w:val="22"/>
                <w:szCs w:val="22"/>
              </w:rPr>
              <w:t xml:space="preserve"> </w:t>
            </w:r>
            <w:r w:rsidRPr="002A2DB3">
              <w:rPr>
                <w:b/>
              </w:rPr>
              <w:br/>
              <w:t>Grandes idées – Approfondissements</w:t>
            </w:r>
            <w:r w:rsidRPr="002A2DB3">
              <w:rPr>
                <w:b/>
              </w:rPr>
              <w:tab/>
            </w:r>
            <w:r w:rsidR="00A50BF5" w:rsidRPr="002A2DB3">
              <w:rPr>
                <w:b/>
              </w:rPr>
              <w:t>12</w:t>
            </w:r>
            <w:r w:rsidRPr="002A2DB3">
              <w:rPr>
                <w:rFonts w:ascii="Times New Roman Bold" w:hAnsi="Times New Roman Bold"/>
                <w:b/>
                <w:position w:val="6"/>
                <w:sz w:val="18"/>
              </w:rPr>
              <w:t>e</w:t>
            </w:r>
            <w:r w:rsidRPr="002A2DB3">
              <w:rPr>
                <w:b/>
              </w:rPr>
              <w:t xml:space="preserve"> année</w:t>
            </w:r>
          </w:p>
        </w:tc>
      </w:tr>
      <w:tr w:rsidR="00834179" w:rsidRPr="002A2DB3" w14:paraId="30DDC149" w14:textId="77777777" w:rsidTr="00F259FB">
        <w:tc>
          <w:tcPr>
            <w:tcW w:w="5000" w:type="pct"/>
            <w:shd w:val="clear" w:color="auto" w:fill="F3F3F3"/>
          </w:tcPr>
          <w:p w14:paraId="72384DBC" w14:textId="77777777" w:rsidR="00834179" w:rsidRPr="002A2DB3" w:rsidRDefault="00514397" w:rsidP="00514397">
            <w:pPr>
              <w:pStyle w:val="ListParagraph"/>
              <w:spacing w:before="120"/>
              <w:rPr>
                <w:color w:val="000000" w:themeColor="text1"/>
              </w:rPr>
            </w:pPr>
            <w:bookmarkStart w:id="19" w:name="lt_pId005"/>
            <w:r w:rsidRPr="00805AD0">
              <w:rPr>
                <w:b/>
              </w:rPr>
              <w:t xml:space="preserve">commercialisation éthique : </w:t>
            </w:r>
            <w:r w:rsidRPr="00805AD0">
              <w:t>p. ex. la commercialisation socialement responsable qui tient compte des différences culturelles</w:t>
            </w:r>
            <w:bookmarkEnd w:id="19"/>
          </w:p>
          <w:p w14:paraId="43F53421" w14:textId="34A7B351" w:rsidR="00514397" w:rsidRPr="002A2DB3" w:rsidRDefault="00514397" w:rsidP="00514397">
            <w:pPr>
              <w:pStyle w:val="ListParagraph"/>
              <w:spacing w:after="120"/>
              <w:rPr>
                <w:color w:val="000000" w:themeColor="text1"/>
              </w:rPr>
            </w:pPr>
            <w:bookmarkStart w:id="20" w:name="lt_pId008"/>
            <w:r w:rsidRPr="00805AD0">
              <w:rPr>
                <w:b/>
              </w:rPr>
              <w:t>technologies :</w:t>
            </w:r>
            <w:r w:rsidRPr="00805AD0">
              <w:t xml:space="preserve"> outils qui accroissent les capacités humaines</w:t>
            </w:r>
            <w:bookmarkEnd w:id="20"/>
          </w:p>
        </w:tc>
      </w:tr>
    </w:tbl>
    <w:p w14:paraId="21E8E6F8" w14:textId="77777777" w:rsidR="00834179" w:rsidRPr="002A2DB3" w:rsidRDefault="00834179" w:rsidP="00514397">
      <w:pPr>
        <w:rPr>
          <w:sz w:val="20"/>
          <w:szCs w:val="20"/>
        </w:rPr>
      </w:pPr>
    </w:p>
    <w:p w14:paraId="2D749D60" w14:textId="77777777" w:rsidR="00514397" w:rsidRPr="002A2DB3" w:rsidRDefault="00514397" w:rsidP="00514397">
      <w:pPr>
        <w:rPr>
          <w:sz w:val="20"/>
          <w:szCs w:val="20"/>
        </w:rPr>
      </w:pPr>
    </w:p>
    <w:p w14:paraId="6DC644D0" w14:textId="77777777" w:rsidR="00514397" w:rsidRPr="002A2DB3" w:rsidRDefault="00514397" w:rsidP="00514397">
      <w:pPr>
        <w:rPr>
          <w:sz w:val="20"/>
          <w:szCs w:val="20"/>
        </w:rPr>
      </w:pPr>
    </w:p>
    <w:p w14:paraId="6A4AD0B4" w14:textId="77777777" w:rsidR="00514397" w:rsidRPr="002A2DB3" w:rsidRDefault="00514397" w:rsidP="00514397">
      <w:pPr>
        <w:rPr>
          <w:sz w:val="20"/>
          <w:szCs w:val="20"/>
        </w:rPr>
      </w:pPr>
    </w:p>
    <w:p w14:paraId="53356E05" w14:textId="77777777" w:rsidR="00514397" w:rsidRPr="002A2DB3" w:rsidRDefault="00514397" w:rsidP="00514397">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ED1AB0" w:rsidRPr="002A2DB3"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75DB3B7F" w:rsidR="00ED1AB0" w:rsidRPr="002A2DB3" w:rsidRDefault="00ED1AB0" w:rsidP="00217F45">
            <w:pPr>
              <w:tabs>
                <w:tab w:val="right" w:pos="14000"/>
              </w:tabs>
              <w:spacing w:before="60" w:after="60"/>
              <w:rPr>
                <w:b/>
              </w:rPr>
            </w:pPr>
            <w:r w:rsidRPr="002A2DB3">
              <w:rPr>
                <w:b/>
              </w:rPr>
              <w:tab/>
            </w:r>
            <w:r w:rsidR="00E455DB" w:rsidRPr="002A2DB3">
              <w:rPr>
                <w:b/>
                <w:caps/>
                <w:szCs w:val="22"/>
              </w:rPr>
              <w:t>Conception, compétences pratiques Et technologies</w:t>
            </w:r>
            <w:r w:rsidR="00E455DB" w:rsidRPr="002A2DB3">
              <w:rPr>
                <w:b/>
                <w:szCs w:val="22"/>
              </w:rPr>
              <w:t xml:space="preserve"> — </w:t>
            </w:r>
            <w:r w:rsidR="00514397" w:rsidRPr="002A2DB3">
              <w:rPr>
                <w:b/>
                <w:szCs w:val="22"/>
              </w:rPr>
              <w:t>Commerce électronique</w:t>
            </w:r>
            <w:r w:rsidRPr="002A2DB3">
              <w:rPr>
                <w:b/>
              </w:rPr>
              <w:br/>
              <w:t>Compétences disciplinaires – Approfondissements</w:t>
            </w:r>
            <w:r w:rsidRPr="002A2DB3">
              <w:rPr>
                <w:b/>
              </w:rPr>
              <w:tab/>
            </w:r>
            <w:r w:rsidR="00A50BF5" w:rsidRPr="002A2DB3">
              <w:rPr>
                <w:b/>
              </w:rPr>
              <w:t>12</w:t>
            </w:r>
            <w:r w:rsidR="00C97E8E" w:rsidRPr="002A2DB3">
              <w:rPr>
                <w:rFonts w:ascii="Times New Roman Bold" w:hAnsi="Times New Roman Bold"/>
                <w:b/>
                <w:position w:val="6"/>
                <w:sz w:val="18"/>
              </w:rPr>
              <w:t>e</w:t>
            </w:r>
            <w:r w:rsidR="00C97E8E" w:rsidRPr="002A2DB3">
              <w:rPr>
                <w:b/>
              </w:rPr>
              <w:t xml:space="preserve"> année</w:t>
            </w:r>
          </w:p>
        </w:tc>
      </w:tr>
      <w:tr w:rsidR="00514397" w:rsidRPr="002A2DB3" w14:paraId="01795492" w14:textId="77777777" w:rsidTr="00496DEF">
        <w:tc>
          <w:tcPr>
            <w:tcW w:w="5000" w:type="pct"/>
            <w:shd w:val="clear" w:color="auto" w:fill="F3F3F3"/>
          </w:tcPr>
          <w:p w14:paraId="1F4E7F9D" w14:textId="77777777" w:rsidR="00514397" w:rsidRPr="00805AD0" w:rsidRDefault="00514397" w:rsidP="00514397">
            <w:pPr>
              <w:pStyle w:val="ListParagraph"/>
              <w:spacing w:before="120"/>
            </w:pPr>
            <w:bookmarkStart w:id="21" w:name="lt_pId055"/>
            <w:r w:rsidRPr="00805AD0">
              <w:rPr>
                <w:b/>
              </w:rPr>
              <w:t xml:space="preserve">investigation : </w:t>
            </w:r>
            <w:r w:rsidRPr="00805AD0">
              <w:t>investigation menée directement auprès des utilisateurs sur le marché numérique, dans le but de comprendre la manière dont ceux-ci font les choses et pourquoi ils agissent ainsi, leurs besoins physiques et émotionnels, leur conception du monde et ce qui revêt une valeur particulière pour eux</w:t>
            </w:r>
            <w:bookmarkEnd w:id="21"/>
          </w:p>
          <w:p w14:paraId="21826C80" w14:textId="77777777" w:rsidR="00514397" w:rsidRPr="00805AD0" w:rsidRDefault="00514397" w:rsidP="00514397">
            <w:pPr>
              <w:pStyle w:val="ListParagraph"/>
            </w:pPr>
            <w:bookmarkStart w:id="22" w:name="lt_pId056"/>
            <w:r w:rsidRPr="00805AD0">
              <w:rPr>
                <w:b/>
                <w:i/>
              </w:rPr>
              <w:t>Définir </w:t>
            </w:r>
            <w:r w:rsidRPr="00805AD0">
              <w:rPr>
                <w:b/>
              </w:rPr>
              <w:t>:</w:t>
            </w:r>
            <w:r w:rsidRPr="00805AD0">
              <w:t xml:space="preserve"> établir les paramètres</w:t>
            </w:r>
            <w:bookmarkEnd w:id="22"/>
          </w:p>
          <w:p w14:paraId="23892266" w14:textId="712359F4" w:rsidR="00514397" w:rsidRPr="00805AD0" w:rsidRDefault="00514397" w:rsidP="00514397">
            <w:pPr>
              <w:pStyle w:val="ListParagraph"/>
            </w:pPr>
            <w:bookmarkStart w:id="23" w:name="lt_pId057"/>
            <w:r w:rsidRPr="00805AD0">
              <w:rPr>
                <w:b/>
              </w:rPr>
              <w:t xml:space="preserve">contraintes : </w:t>
            </w:r>
            <w:r w:rsidRPr="00805AD0">
              <w:t xml:space="preserve">facteurs limitatifs, comme la disponibilité des technologies, les coûts, l’impact environnemental, l’appropriation culturelle </w:t>
            </w:r>
            <w:r w:rsidRPr="002A2DB3">
              <w:br/>
            </w:r>
            <w:r w:rsidRPr="00805AD0">
              <w:t>et les connaissances considérées comme sacrées</w:t>
            </w:r>
            <w:bookmarkEnd w:id="23"/>
          </w:p>
          <w:p w14:paraId="5EF969DC" w14:textId="77777777" w:rsidR="00514397" w:rsidRPr="00805AD0" w:rsidRDefault="00514397" w:rsidP="00514397">
            <w:pPr>
              <w:pStyle w:val="ListParagraph"/>
            </w:pPr>
            <w:bookmarkStart w:id="24" w:name="lt_pId058"/>
            <w:r w:rsidRPr="00805AD0">
              <w:rPr>
                <w:b/>
                <w:i/>
              </w:rPr>
              <w:t>Concevoir des idées </w:t>
            </w:r>
            <w:r w:rsidRPr="00805AD0">
              <w:rPr>
                <w:b/>
              </w:rPr>
              <w:t>:</w:t>
            </w:r>
            <w:r w:rsidRPr="00805AD0">
              <w:t xml:space="preserve"> formuler des idées ou des concepts</w:t>
            </w:r>
            <w:bookmarkEnd w:id="24"/>
          </w:p>
          <w:p w14:paraId="215F0FB7" w14:textId="743EC88B" w:rsidR="00514397" w:rsidRPr="00805AD0" w:rsidRDefault="00514397" w:rsidP="00514397">
            <w:pPr>
              <w:pStyle w:val="ListParagraph"/>
            </w:pPr>
            <w:bookmarkStart w:id="25" w:name="lt_pId059"/>
            <w:r w:rsidRPr="00805AD0">
              <w:rPr>
                <w:b/>
              </w:rPr>
              <w:t>facteurs associés à la vie sociale, à l’éthique et à la durabilité :</w:t>
            </w:r>
            <w:r w:rsidRPr="00805AD0">
              <w:t xml:space="preserve"> p. ex. le recours croissant aux matériaux d’emballage, aux services d’expédition </w:t>
            </w:r>
            <w:r w:rsidRPr="002A2DB3">
              <w:br/>
            </w:r>
            <w:r w:rsidRPr="00805AD0">
              <w:t xml:space="preserve">et au transport de marchandises en raison de l’augmentation du magasinage en ligne </w:t>
            </w:r>
            <w:bookmarkEnd w:id="25"/>
          </w:p>
          <w:p w14:paraId="56EA9D72" w14:textId="77777777" w:rsidR="00514397" w:rsidRPr="00805AD0" w:rsidRDefault="00514397" w:rsidP="00514397">
            <w:pPr>
              <w:pStyle w:val="ListParagraph"/>
            </w:pPr>
            <w:bookmarkStart w:id="26" w:name="lt_pId060"/>
            <w:bookmarkStart w:id="27" w:name="_Hlk513451828"/>
            <w:r w:rsidRPr="00805AD0">
              <w:rPr>
                <w:b/>
              </w:rPr>
              <w:t>conception menée de concert avec les utilisateurs :</w:t>
            </w:r>
            <w:r w:rsidRPr="00805AD0">
              <w:t xml:space="preserve"> travailler en collaboration avec les utilisateurs à toutes les étapes du processus de conception </w:t>
            </w:r>
            <w:bookmarkEnd w:id="26"/>
          </w:p>
          <w:p w14:paraId="01A70093" w14:textId="27A073B5" w:rsidR="00514397" w:rsidRPr="00805AD0" w:rsidRDefault="00514397" w:rsidP="00514397">
            <w:pPr>
              <w:pStyle w:val="ListParagraph"/>
            </w:pPr>
            <w:bookmarkStart w:id="28" w:name="lt_pId061"/>
            <w:bookmarkEnd w:id="27"/>
            <w:r w:rsidRPr="00805AD0">
              <w:rPr>
                <w:b/>
              </w:rPr>
              <w:t xml:space="preserve">sources d’inspiration : </w:t>
            </w:r>
            <w:r w:rsidRPr="00805AD0">
              <w:t xml:space="preserve">notamment des expériences esthétiques; les points de vue et les connaissances des peuples autochtones; le milieu naturel et des lieux, y compris le territoire, les ressources naturelles et autres cadres similaires; des gens, notamment des utilisateurs, des spécialistes </w:t>
            </w:r>
            <w:r w:rsidRPr="002A2DB3">
              <w:br/>
            </w:r>
            <w:r w:rsidRPr="00805AD0">
              <w:t>et des personnalités phares</w:t>
            </w:r>
            <w:bookmarkEnd w:id="28"/>
          </w:p>
          <w:p w14:paraId="7ECDB8ED" w14:textId="4674D968" w:rsidR="00514397" w:rsidRPr="00805AD0" w:rsidRDefault="00514397" w:rsidP="00514397">
            <w:pPr>
              <w:pStyle w:val="ListParagraph"/>
              <w:rPr>
                <w:b/>
              </w:rPr>
            </w:pPr>
            <w:bookmarkStart w:id="29" w:name="lt_pId062"/>
            <w:r w:rsidRPr="00805AD0">
              <w:rPr>
                <w:b/>
              </w:rPr>
              <w:t xml:space="preserve">sources d’information : </w:t>
            </w:r>
            <w:r w:rsidRPr="00805AD0">
              <w:t xml:space="preserve">p. ex. des professionnels de la conception en arts médiatiques, des experts issus des communautés </w:t>
            </w:r>
            <w:proofErr w:type="spellStart"/>
            <w:r w:rsidRPr="00805AD0">
              <w:t>inuites</w:t>
            </w:r>
            <w:proofErr w:type="spellEnd"/>
            <w:r w:rsidRPr="00805AD0">
              <w:t xml:space="preserve">, métisses </w:t>
            </w:r>
            <w:r w:rsidRPr="002A2DB3">
              <w:br/>
            </w:r>
            <w:r w:rsidRPr="00805AD0">
              <w:t xml:space="preserve">et des Premières Nations, des sources secondaires, des fonds de connaissances collectifs et des milieux favorisant la collaboration, tant en ligne </w:t>
            </w:r>
            <w:r w:rsidRPr="002A2DB3">
              <w:br/>
            </w:r>
            <w:r w:rsidRPr="00805AD0">
              <w:t>que hors ligne</w:t>
            </w:r>
            <w:bookmarkEnd w:id="29"/>
          </w:p>
          <w:p w14:paraId="353C5EC6" w14:textId="77777777" w:rsidR="00514397" w:rsidRPr="00805AD0" w:rsidRDefault="00514397" w:rsidP="00514397">
            <w:pPr>
              <w:pStyle w:val="ListParagraph"/>
            </w:pPr>
            <w:bookmarkStart w:id="30" w:name="lt_pId063"/>
            <w:r w:rsidRPr="00805AD0">
              <w:rPr>
                <w:b/>
              </w:rPr>
              <w:t xml:space="preserve">conception axée sur le cycle de vie : </w:t>
            </w:r>
            <w:r w:rsidRPr="00805AD0">
              <w:t>tenir compte des coûts économiques ainsi que des répercussions sociales et environnementales du produit, depuis l’extraction des matières premières jusqu’à la réutilisation ou le recyclage éventuels des matériaux entrant dans sa composition</w:t>
            </w:r>
            <w:bookmarkEnd w:id="30"/>
          </w:p>
          <w:p w14:paraId="680CAEEA" w14:textId="77777777" w:rsidR="00514397" w:rsidRPr="00805AD0" w:rsidRDefault="00514397" w:rsidP="00514397">
            <w:pPr>
              <w:pStyle w:val="ListParagraph"/>
              <w:rPr>
                <w:b/>
              </w:rPr>
            </w:pPr>
            <w:bookmarkStart w:id="31" w:name="lt_pId064"/>
            <w:r w:rsidRPr="00805AD0">
              <w:rPr>
                <w:b/>
              </w:rPr>
              <w:t xml:space="preserve">versions successives : </w:t>
            </w:r>
            <w:r w:rsidRPr="00805AD0">
              <w:t>répétition d’un processus dans le but de se rapprocher du résultat souhaité</w:t>
            </w:r>
            <w:bookmarkEnd w:id="31"/>
            <w:r w:rsidRPr="00805AD0">
              <w:t xml:space="preserve"> </w:t>
            </w:r>
          </w:p>
          <w:p w14:paraId="499F30CE" w14:textId="0BC554A9" w:rsidR="00514397" w:rsidRPr="00805AD0" w:rsidRDefault="00514397" w:rsidP="00514397">
            <w:pPr>
              <w:pStyle w:val="ListParagraph"/>
            </w:pPr>
            <w:bookmarkStart w:id="32" w:name="lt_pId065"/>
            <w:r w:rsidRPr="00805AD0">
              <w:rPr>
                <w:b/>
              </w:rPr>
              <w:t xml:space="preserve">sources : </w:t>
            </w:r>
            <w:r w:rsidRPr="00805AD0">
              <w:t xml:space="preserve">p. ex. des pairs, des utilisateurs, des experts des communautés métisses, </w:t>
            </w:r>
            <w:proofErr w:type="spellStart"/>
            <w:r w:rsidRPr="00805AD0">
              <w:t>inuites</w:t>
            </w:r>
            <w:proofErr w:type="spellEnd"/>
            <w:r w:rsidRPr="00805AD0">
              <w:t xml:space="preserve"> et des Premières Nations, ainsi que d’autres experts </w:t>
            </w:r>
            <w:r w:rsidRPr="002A2DB3">
              <w:br/>
            </w:r>
            <w:r w:rsidRPr="00805AD0">
              <w:t>ou professionnels, tant en ligne que hors ligne</w:t>
            </w:r>
            <w:bookmarkEnd w:id="32"/>
          </w:p>
          <w:p w14:paraId="7B203AF4" w14:textId="2C4D7DC2" w:rsidR="00514397" w:rsidRPr="00805AD0" w:rsidRDefault="00514397" w:rsidP="00514397">
            <w:pPr>
              <w:pStyle w:val="ListParagraph"/>
              <w:spacing w:after="120"/>
            </w:pPr>
            <w:bookmarkStart w:id="33" w:name="lt_pId066"/>
            <w:r w:rsidRPr="00805AD0">
              <w:rPr>
                <w:b/>
              </w:rPr>
              <w:t xml:space="preserve">procédure d’essai adéquate : </w:t>
            </w:r>
            <w:r w:rsidRPr="00805AD0">
              <w:t xml:space="preserve">notamment la détermination du degré d’authenticité de l’essai, le choix du type et du nombre d’essais, ainsi que </w:t>
            </w:r>
            <w:r w:rsidRPr="002A2DB3">
              <w:br/>
            </w:r>
            <w:r w:rsidRPr="00805AD0">
              <w:t>la cueillette et la compilation des données</w:t>
            </w:r>
            <w:bookmarkEnd w:id="33"/>
          </w:p>
          <w:p w14:paraId="1E82A6F7" w14:textId="77777777" w:rsidR="00514397" w:rsidRPr="002A2DB3" w:rsidRDefault="00514397" w:rsidP="00514397">
            <w:pPr>
              <w:pStyle w:val="ListParagraph"/>
              <w:spacing w:before="240"/>
              <w:rPr>
                <w:rFonts w:cs="Calibri"/>
                <w:color w:val="000000"/>
              </w:rPr>
            </w:pPr>
            <w:bookmarkStart w:id="34" w:name="lt_pId067"/>
            <w:r w:rsidRPr="002A2DB3">
              <w:rPr>
                <w:rFonts w:cs="Calibri"/>
                <w:b/>
                <w:color w:val="000000"/>
              </w:rPr>
              <w:t xml:space="preserve">processus de gestion de projet : </w:t>
            </w:r>
            <w:r w:rsidRPr="002A2DB3">
              <w:rPr>
                <w:rFonts w:cs="Calibri"/>
                <w:color w:val="000000"/>
              </w:rPr>
              <w:t>établir des objectifs, planifier, organiser, construire, surveiller et diriger le travail pendant la réalisation du projet</w:t>
            </w:r>
            <w:bookmarkEnd w:id="34"/>
            <w:r w:rsidRPr="002A2DB3">
              <w:rPr>
                <w:rFonts w:cs="Calibri"/>
                <w:color w:val="000000"/>
              </w:rPr>
              <w:t xml:space="preserve"> </w:t>
            </w:r>
          </w:p>
          <w:p w14:paraId="154C232E" w14:textId="77777777" w:rsidR="00514397" w:rsidRPr="00805AD0" w:rsidRDefault="00514397" w:rsidP="00514397">
            <w:pPr>
              <w:pStyle w:val="ListParagraph"/>
            </w:pPr>
            <w:bookmarkStart w:id="35" w:name="lt_pId068"/>
            <w:r w:rsidRPr="00805AD0">
              <w:rPr>
                <w:b/>
              </w:rPr>
              <w:t xml:space="preserve">présenter : </w:t>
            </w:r>
            <w:r w:rsidRPr="00805AD0">
              <w:t>notamment la présentation ou la cession du produit, son utilisation par d’autres, ou encore sa commercialisation et sa vente</w:t>
            </w:r>
            <w:bookmarkEnd w:id="35"/>
          </w:p>
          <w:p w14:paraId="24EE6033" w14:textId="77777777" w:rsidR="00514397" w:rsidRPr="00805AD0" w:rsidRDefault="00514397" w:rsidP="00514397">
            <w:pPr>
              <w:pStyle w:val="ListParagraph"/>
            </w:pPr>
            <w:bookmarkStart w:id="36" w:name="lt_pId069"/>
            <w:r w:rsidRPr="00805AD0">
              <w:rPr>
                <w:b/>
              </w:rPr>
              <w:t xml:space="preserve">produit : </w:t>
            </w:r>
            <w:r w:rsidRPr="00805AD0">
              <w:t>p. ex. un objet physique, un processus, un système, un service ou un milieu artificiel</w:t>
            </w:r>
            <w:bookmarkEnd w:id="36"/>
          </w:p>
          <w:p w14:paraId="67ED38C0" w14:textId="33DE5551" w:rsidR="00514397" w:rsidRPr="002A2DB3" w:rsidRDefault="00514397" w:rsidP="00514397">
            <w:pPr>
              <w:pStyle w:val="ListParagraph"/>
              <w:rPr>
                <w:rFonts w:cs="Calibri"/>
                <w:color w:val="000000"/>
              </w:rPr>
            </w:pPr>
            <w:bookmarkStart w:id="37" w:name="lt_pId070"/>
            <w:r w:rsidRPr="002A2DB3">
              <w:rPr>
                <w:rFonts w:cs="Calibri"/>
                <w:b/>
                <w:color w:val="000000"/>
              </w:rPr>
              <w:t xml:space="preserve">propriété intellectuelle : </w:t>
            </w:r>
            <w:r w:rsidRPr="002A2DB3">
              <w:rPr>
                <w:rFonts w:cs="Calibri"/>
                <w:color w:val="000000"/>
              </w:rPr>
              <w:t xml:space="preserve">création de l’esprit, telle qu’une œuvre d’art, une invention, une découverte ou une idée de conception sur laquelle </w:t>
            </w:r>
            <w:r w:rsidRPr="002A2DB3">
              <w:rPr>
                <w:rFonts w:cs="Calibri"/>
                <w:color w:val="000000"/>
              </w:rPr>
              <w:br/>
              <w:t>on détient un droit de propriété</w:t>
            </w:r>
            <w:bookmarkEnd w:id="37"/>
          </w:p>
          <w:p w14:paraId="12A70EBF" w14:textId="77777777" w:rsidR="00514397" w:rsidRPr="00805AD0" w:rsidRDefault="00514397" w:rsidP="00514397">
            <w:pPr>
              <w:pStyle w:val="ListParagraph"/>
            </w:pPr>
            <w:bookmarkStart w:id="38" w:name="lt_pId071"/>
            <w:r w:rsidRPr="00805AD0">
              <w:rPr>
                <w:b/>
              </w:rPr>
              <w:t xml:space="preserve">problèmes liés à la sécurité : </w:t>
            </w:r>
            <w:r w:rsidRPr="00805AD0">
              <w:t>notamment les virus, l’hameçonnage, la protection des renseignements personnels numériques, l’ergonomie, la levée d’objets lourds et les blessures physiques occasionnées par des gestes répétitifs</w:t>
            </w:r>
            <w:bookmarkEnd w:id="38"/>
          </w:p>
          <w:p w14:paraId="5F8EB9C3" w14:textId="2763A512" w:rsidR="00514397" w:rsidRPr="002A2DB3" w:rsidRDefault="00514397" w:rsidP="00514397">
            <w:pPr>
              <w:pStyle w:val="ListParagraph"/>
              <w:spacing w:after="120"/>
            </w:pPr>
            <w:bookmarkStart w:id="39" w:name="lt_pId072"/>
            <w:r w:rsidRPr="00805AD0">
              <w:rPr>
                <w:b/>
              </w:rPr>
              <w:t xml:space="preserve">cadre de travail : </w:t>
            </w:r>
            <w:r w:rsidRPr="00805AD0">
              <w:t>notamment les processus généraux de résolution de problèmes en plusieurs étapes, y compris ceux établis pour les entreprises</w:t>
            </w:r>
            <w:bookmarkEnd w:id="39"/>
          </w:p>
        </w:tc>
      </w:tr>
    </w:tbl>
    <w:p w14:paraId="6D3BCBAE" w14:textId="77777777" w:rsidR="00D6431A" w:rsidRPr="002A2DB3" w:rsidRDefault="00D6431A" w:rsidP="00615C07">
      <w:pPr>
        <w:rPr>
          <w:sz w:val="20"/>
          <w:szCs w:val="20"/>
        </w:rPr>
      </w:pPr>
    </w:p>
    <w:p w14:paraId="72F25D75" w14:textId="77777777" w:rsidR="00D6431A" w:rsidRPr="002A2DB3" w:rsidRDefault="00D6431A" w:rsidP="00615C07">
      <w:pPr>
        <w:rPr>
          <w:sz w:val="20"/>
          <w:szCs w:val="20"/>
        </w:rPr>
      </w:pPr>
    </w:p>
    <w:p w14:paraId="43CA8D7C" w14:textId="77777777" w:rsidR="00514397" w:rsidRPr="002A2DB3" w:rsidRDefault="00514397" w:rsidP="00615C07">
      <w:pPr>
        <w:rPr>
          <w:sz w:val="20"/>
          <w:szCs w:val="20"/>
        </w:rPr>
      </w:pPr>
    </w:p>
    <w:p w14:paraId="4CA29574" w14:textId="77777777" w:rsidR="00514397" w:rsidRPr="002A2DB3" w:rsidRDefault="00514397" w:rsidP="00615C07">
      <w:pPr>
        <w:rPr>
          <w:sz w:val="20"/>
          <w:szCs w:val="20"/>
        </w:rPr>
      </w:pPr>
    </w:p>
    <w:p w14:paraId="4BEB41D7" w14:textId="56F85141" w:rsidR="00615C07" w:rsidRPr="002A2DB3" w:rsidRDefault="00615C07" w:rsidP="00615C07">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070C03" w:rsidRPr="002A2DB3" w14:paraId="2D75CA55" w14:textId="77777777">
        <w:trPr>
          <w:tblHeader/>
        </w:trPr>
        <w:tc>
          <w:tcPr>
            <w:tcW w:w="5000" w:type="pct"/>
            <w:shd w:val="clear" w:color="auto" w:fill="758D96"/>
            <w:tcMar>
              <w:top w:w="0" w:type="dxa"/>
              <w:bottom w:w="0" w:type="dxa"/>
            </w:tcMar>
          </w:tcPr>
          <w:p w14:paraId="097375AB" w14:textId="1BEE40C6" w:rsidR="00F9586F" w:rsidRPr="002A2DB3" w:rsidRDefault="0059376F" w:rsidP="00514397">
            <w:pPr>
              <w:tabs>
                <w:tab w:val="right" w:pos="14000"/>
              </w:tabs>
              <w:spacing w:before="60" w:after="60"/>
              <w:rPr>
                <w:b/>
                <w:color w:val="FFFFFF" w:themeColor="background1"/>
              </w:rPr>
            </w:pPr>
            <w:r w:rsidRPr="002A2DB3">
              <w:rPr>
                <w:b/>
                <w:color w:val="FFFFFF" w:themeColor="background1"/>
              </w:rPr>
              <w:tab/>
            </w:r>
            <w:r w:rsidR="00E455DB" w:rsidRPr="002A2DB3">
              <w:rPr>
                <w:b/>
                <w:caps/>
                <w:color w:val="FFFFFF" w:themeColor="background1"/>
                <w:szCs w:val="22"/>
              </w:rPr>
              <w:t>Conception, compétences pratiques Et technologies</w:t>
            </w:r>
            <w:r w:rsidR="00E455DB" w:rsidRPr="002A2DB3">
              <w:rPr>
                <w:b/>
                <w:color w:val="FFFFFF" w:themeColor="background1"/>
                <w:szCs w:val="22"/>
              </w:rPr>
              <w:t xml:space="preserve"> — </w:t>
            </w:r>
            <w:r w:rsidR="00514397" w:rsidRPr="002A2DB3">
              <w:rPr>
                <w:b/>
                <w:color w:val="FFFFFF" w:themeColor="background1"/>
                <w:szCs w:val="22"/>
              </w:rPr>
              <w:t>Commerce électronique</w:t>
            </w:r>
            <w:r w:rsidRPr="002A2DB3">
              <w:rPr>
                <w:b/>
                <w:color w:val="FFFFFF" w:themeColor="background1"/>
              </w:rPr>
              <w:br/>
              <w:t>Conten</w:t>
            </w:r>
            <w:r w:rsidR="00737D76" w:rsidRPr="002A2DB3">
              <w:rPr>
                <w:b/>
                <w:color w:val="FFFFFF" w:themeColor="background1"/>
              </w:rPr>
              <w:t>u</w:t>
            </w:r>
            <w:r w:rsidRPr="002A2DB3">
              <w:rPr>
                <w:b/>
                <w:color w:val="FFFFFF" w:themeColor="background1"/>
              </w:rPr>
              <w:t xml:space="preserve"> – </w:t>
            </w:r>
            <w:r w:rsidR="00737D76" w:rsidRPr="002A2DB3">
              <w:rPr>
                <w:b/>
                <w:color w:val="FFFFFF" w:themeColor="background1"/>
              </w:rPr>
              <w:t>Approfondissements</w:t>
            </w:r>
            <w:r w:rsidRPr="002A2DB3">
              <w:rPr>
                <w:b/>
                <w:color w:val="FFFFFF" w:themeColor="background1"/>
              </w:rPr>
              <w:tab/>
            </w:r>
            <w:r w:rsidR="00A50BF5" w:rsidRPr="002A2DB3">
              <w:rPr>
                <w:b/>
                <w:color w:val="FFFFFF" w:themeColor="background1"/>
              </w:rPr>
              <w:t>12</w:t>
            </w:r>
            <w:r w:rsidR="00C97E8E" w:rsidRPr="002A2DB3">
              <w:rPr>
                <w:rFonts w:ascii="Times New Roman Bold" w:hAnsi="Times New Roman Bold"/>
                <w:b/>
                <w:color w:val="FFFFFF" w:themeColor="background1"/>
                <w:position w:val="6"/>
                <w:sz w:val="18"/>
              </w:rPr>
              <w:t>e</w:t>
            </w:r>
            <w:r w:rsidR="00C97E8E" w:rsidRPr="002A2DB3">
              <w:rPr>
                <w:b/>
                <w:color w:val="FFFFFF" w:themeColor="background1"/>
              </w:rPr>
              <w:t xml:space="preserve"> année</w:t>
            </w:r>
          </w:p>
        </w:tc>
      </w:tr>
      <w:tr w:rsidR="00514397" w:rsidRPr="002A2DB3" w14:paraId="7A2216BF" w14:textId="77777777">
        <w:tc>
          <w:tcPr>
            <w:tcW w:w="5000" w:type="pct"/>
            <w:shd w:val="clear" w:color="auto" w:fill="F3F3F3"/>
          </w:tcPr>
          <w:p w14:paraId="3F09138D" w14:textId="77777777" w:rsidR="00514397" w:rsidRPr="00805AD0" w:rsidRDefault="00514397" w:rsidP="00514397">
            <w:pPr>
              <w:pStyle w:val="ListParagraph"/>
              <w:spacing w:before="120"/>
              <w:rPr>
                <w:b/>
              </w:rPr>
            </w:pPr>
            <w:bookmarkStart w:id="40" w:name="lt_pId090"/>
            <w:r w:rsidRPr="00805AD0">
              <w:rPr>
                <w:rFonts w:cs="Calibri"/>
                <w:b/>
              </w:rPr>
              <w:t>Aspects économiques du commerce électronique </w:t>
            </w:r>
            <w:r w:rsidRPr="00805AD0">
              <w:rPr>
                <w:b/>
              </w:rPr>
              <w:t>:</w:t>
            </w:r>
            <w:r w:rsidRPr="00805AD0">
              <w:t xml:space="preserve"> notamment la concurrence, de même que l’offre et la demande </w:t>
            </w:r>
            <w:bookmarkEnd w:id="40"/>
          </w:p>
          <w:p w14:paraId="5A3FE7C1" w14:textId="77777777" w:rsidR="00514397" w:rsidRPr="00805AD0" w:rsidRDefault="00514397" w:rsidP="00514397">
            <w:pPr>
              <w:pStyle w:val="ListParagraph"/>
              <w:rPr>
                <w:b/>
              </w:rPr>
            </w:pPr>
            <w:bookmarkStart w:id="41" w:name="lt_pId091"/>
            <w:r w:rsidRPr="00805AD0">
              <w:rPr>
                <w:b/>
              </w:rPr>
              <w:t xml:space="preserve">Modèles de génération de chiffre d’affaires : </w:t>
            </w:r>
            <w:r w:rsidRPr="00805AD0">
              <w:t xml:space="preserve">méthodes de génération de chiffre d’affaires et de gestion des coûts </w:t>
            </w:r>
            <w:bookmarkEnd w:id="41"/>
          </w:p>
          <w:p w14:paraId="60AAC7A7" w14:textId="77777777" w:rsidR="00514397" w:rsidRPr="00805AD0" w:rsidRDefault="00514397" w:rsidP="00514397">
            <w:pPr>
              <w:pStyle w:val="ListParagraph"/>
            </w:pPr>
            <w:bookmarkStart w:id="42" w:name="lt_pId092"/>
            <w:r w:rsidRPr="00805AD0">
              <w:rPr>
                <w:rFonts w:cs="Calibri"/>
                <w:b/>
              </w:rPr>
              <w:t>milieu du commerce électronique de détail </w:t>
            </w:r>
            <w:r w:rsidRPr="00805AD0">
              <w:rPr>
                <w:b/>
              </w:rPr>
              <w:t>:</w:t>
            </w:r>
            <w:r w:rsidRPr="00805AD0">
              <w:t xml:space="preserve"> notamment les sites Web et les applications mobiles</w:t>
            </w:r>
            <w:bookmarkEnd w:id="42"/>
          </w:p>
          <w:p w14:paraId="12BA4B21" w14:textId="129836BA" w:rsidR="00514397" w:rsidRPr="00805AD0" w:rsidRDefault="00514397" w:rsidP="00514397">
            <w:pPr>
              <w:pStyle w:val="ListParagraph"/>
            </w:pPr>
            <w:bookmarkStart w:id="43" w:name="lt_pId093"/>
            <w:r w:rsidRPr="00805AD0">
              <w:rPr>
                <w:b/>
              </w:rPr>
              <w:t>commercialisation Web :</w:t>
            </w:r>
            <w:r w:rsidRPr="00805AD0">
              <w:t xml:space="preserve"> notamment les médias sociaux, le marketing viral, l’aiguillage des internautes vers les sites Web et les applications, </w:t>
            </w:r>
            <w:r w:rsidRPr="002A2DB3">
              <w:br/>
            </w:r>
            <w:r w:rsidRPr="00805AD0">
              <w:t xml:space="preserve">ainsi que la publicité dans un contexte de commerce électronique </w:t>
            </w:r>
            <w:bookmarkEnd w:id="43"/>
          </w:p>
          <w:p w14:paraId="0FE0F553" w14:textId="77777777" w:rsidR="00514397" w:rsidRPr="00805AD0" w:rsidRDefault="00514397" w:rsidP="00514397">
            <w:pPr>
              <w:pStyle w:val="ListParagraph"/>
            </w:pPr>
            <w:bookmarkStart w:id="44" w:name="lt_pId094"/>
            <w:r w:rsidRPr="00805AD0">
              <w:rPr>
                <w:b/>
              </w:rPr>
              <w:t>Canaux de distribution :</w:t>
            </w:r>
            <w:r w:rsidRPr="00805AD0">
              <w:t xml:space="preserve"> moyens rentables de livrer la version définitive du produit ou du service aux consommateurs </w:t>
            </w:r>
            <w:bookmarkEnd w:id="44"/>
          </w:p>
          <w:p w14:paraId="44303DCE" w14:textId="42910470" w:rsidR="00514397" w:rsidRPr="00805AD0" w:rsidRDefault="00514397" w:rsidP="00514397">
            <w:pPr>
              <w:pStyle w:val="ListParagraph"/>
              <w:rPr>
                <w:rFonts w:eastAsia="Batang" w:cstheme="majorHAnsi"/>
              </w:rPr>
            </w:pPr>
            <w:bookmarkStart w:id="45" w:name="lt_pId095"/>
            <w:r w:rsidRPr="00805AD0">
              <w:rPr>
                <w:rFonts w:cstheme="majorHAnsi"/>
                <w:b/>
                <w:bCs/>
              </w:rPr>
              <w:t xml:space="preserve">Compétences relationnelles et habiletés de présentation : </w:t>
            </w:r>
            <w:r w:rsidRPr="00805AD0">
              <w:rPr>
                <w:rFonts w:cstheme="majorHAnsi"/>
                <w:bCs/>
              </w:rPr>
              <w:t xml:space="preserve">notamment les communications professionnelles, la collaboration, le suivi </w:t>
            </w:r>
            <w:r w:rsidRPr="002A2DB3">
              <w:rPr>
                <w:rFonts w:cstheme="majorHAnsi"/>
                <w:bCs/>
              </w:rPr>
              <w:br/>
            </w:r>
            <w:r w:rsidRPr="00805AD0">
              <w:rPr>
                <w:rFonts w:cstheme="majorHAnsi"/>
                <w:bCs/>
              </w:rPr>
              <w:t xml:space="preserve">et les échanges de politesses; les supports technologiques ou visuels utilisés dans le cadre de la commercialisation ou des présentations </w:t>
            </w:r>
            <w:r w:rsidRPr="002A2DB3">
              <w:rPr>
                <w:rFonts w:cstheme="majorHAnsi"/>
                <w:bCs/>
              </w:rPr>
              <w:br/>
            </w:r>
            <w:r w:rsidRPr="00805AD0">
              <w:rPr>
                <w:rFonts w:cstheme="majorHAnsi"/>
                <w:bCs/>
              </w:rPr>
              <w:t>dans les réunions et les colloques; l’utilisation des médias sociaux et le réseautage</w:t>
            </w:r>
            <w:bookmarkEnd w:id="45"/>
          </w:p>
          <w:p w14:paraId="4C948E40" w14:textId="506403CB" w:rsidR="00514397" w:rsidRPr="002A2DB3" w:rsidRDefault="00514397" w:rsidP="00514397">
            <w:pPr>
              <w:pStyle w:val="ListParagraph"/>
              <w:spacing w:after="120"/>
            </w:pPr>
            <w:bookmarkStart w:id="46" w:name="lt_pId096"/>
            <w:r w:rsidRPr="002A2DB3">
              <w:rPr>
                <w:rFonts w:cs="Calibri"/>
                <w:b/>
                <w:bCs/>
              </w:rPr>
              <w:t xml:space="preserve">appropriation culturelle : </w:t>
            </w:r>
            <w:r w:rsidRPr="002A2DB3">
              <w:rPr>
                <w:rFonts w:cs="Calibri"/>
                <w:bCs/>
              </w:rPr>
              <w:t xml:space="preserve">utilisation de motifs, de thèmes, de « voix », d’images, de connaissances, de récits, de chansons ou d’œuvres dramatiques sans autorisation ou sans mise en contexte adéquate, ou encore d’une manière qui dénature l’expérience vécue par les personnes appartenant </w:t>
            </w:r>
            <w:r w:rsidRPr="002A2DB3">
              <w:rPr>
                <w:rFonts w:cs="Calibri"/>
                <w:bCs/>
              </w:rPr>
              <w:br/>
              <w:t>à la culture d’origine</w:t>
            </w:r>
            <w:bookmarkEnd w:id="46"/>
          </w:p>
        </w:tc>
      </w:tr>
    </w:tbl>
    <w:p w14:paraId="6C97D3F9" w14:textId="7F586F34" w:rsidR="00861BC6" w:rsidRPr="002A2DB3" w:rsidRDefault="00861BC6" w:rsidP="009E3F9B">
      <w:pPr>
        <w:rPr>
          <w:sz w:val="4"/>
          <w:szCs w:val="4"/>
        </w:rPr>
      </w:pPr>
    </w:p>
    <w:sectPr w:rsidR="00861BC6" w:rsidRPr="002A2DB3" w:rsidSect="001A27C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Oblique">
    <w:altName w:val="Times New Roman"/>
    <w:charset w:val="00"/>
    <w:family w:val="auto"/>
    <w:pitch w:val="variable"/>
    <w:sig w:usb0="00000001"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805AD0">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344608B7"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7DC9203B"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8E3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656C712"/>
    <w:lvl w:ilvl="0">
      <w:start w:val="1"/>
      <w:numFmt w:val="decimal"/>
      <w:lvlText w:val="%1."/>
      <w:lvlJc w:val="left"/>
      <w:pPr>
        <w:tabs>
          <w:tab w:val="num" w:pos="1492"/>
        </w:tabs>
        <w:ind w:left="1492" w:hanging="360"/>
      </w:pPr>
    </w:lvl>
  </w:abstractNum>
  <w:abstractNum w:abstractNumId="2">
    <w:nsid w:val="FFFFFF7D"/>
    <w:multiLevelType w:val="singleLevel"/>
    <w:tmpl w:val="7DFEEB7C"/>
    <w:lvl w:ilvl="0">
      <w:start w:val="1"/>
      <w:numFmt w:val="decimal"/>
      <w:lvlText w:val="%1."/>
      <w:lvlJc w:val="left"/>
      <w:pPr>
        <w:tabs>
          <w:tab w:val="num" w:pos="1209"/>
        </w:tabs>
        <w:ind w:left="1209" w:hanging="360"/>
      </w:pPr>
    </w:lvl>
  </w:abstractNum>
  <w:abstractNum w:abstractNumId="3">
    <w:nsid w:val="FFFFFF7E"/>
    <w:multiLevelType w:val="singleLevel"/>
    <w:tmpl w:val="9A649034"/>
    <w:lvl w:ilvl="0">
      <w:start w:val="1"/>
      <w:numFmt w:val="decimal"/>
      <w:lvlText w:val="%1."/>
      <w:lvlJc w:val="left"/>
      <w:pPr>
        <w:tabs>
          <w:tab w:val="num" w:pos="926"/>
        </w:tabs>
        <w:ind w:left="926" w:hanging="360"/>
      </w:pPr>
    </w:lvl>
  </w:abstractNum>
  <w:abstractNum w:abstractNumId="4">
    <w:nsid w:val="FFFFFF7F"/>
    <w:multiLevelType w:val="singleLevel"/>
    <w:tmpl w:val="A29CDDD0"/>
    <w:lvl w:ilvl="0">
      <w:start w:val="1"/>
      <w:numFmt w:val="decimal"/>
      <w:lvlText w:val="%1."/>
      <w:lvlJc w:val="left"/>
      <w:pPr>
        <w:tabs>
          <w:tab w:val="num" w:pos="643"/>
        </w:tabs>
        <w:ind w:left="643" w:hanging="360"/>
      </w:pPr>
    </w:lvl>
  </w:abstractNum>
  <w:abstractNum w:abstractNumId="5">
    <w:nsid w:val="FFFFFF80"/>
    <w:multiLevelType w:val="singleLevel"/>
    <w:tmpl w:val="768668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C4E00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C1EB8F8"/>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925AC4"/>
    <w:multiLevelType w:val="hybridMultilevel"/>
    <w:tmpl w:val="D460E9A4"/>
    <w:lvl w:ilvl="0" w:tplc="111E1E92">
      <w:start w:val="1"/>
      <w:numFmt w:val="bullet"/>
      <w:lvlText w:val=""/>
      <w:lvlJc w:val="left"/>
      <w:pPr>
        <w:ind w:left="720" w:hanging="360"/>
      </w:pPr>
      <w:rPr>
        <w:rFonts w:ascii="Symbol" w:hAnsi="Symbol" w:hint="default"/>
      </w:rPr>
    </w:lvl>
    <w:lvl w:ilvl="1" w:tplc="2AEE4DFE" w:tentative="1">
      <w:start w:val="1"/>
      <w:numFmt w:val="bullet"/>
      <w:lvlText w:val="o"/>
      <w:lvlJc w:val="left"/>
      <w:pPr>
        <w:ind w:left="1440" w:hanging="360"/>
      </w:pPr>
      <w:rPr>
        <w:rFonts w:ascii="Courier New" w:hAnsi="Courier New" w:cs="Courier New" w:hint="default"/>
      </w:rPr>
    </w:lvl>
    <w:lvl w:ilvl="2" w:tplc="587CF252" w:tentative="1">
      <w:start w:val="1"/>
      <w:numFmt w:val="bullet"/>
      <w:lvlText w:val=""/>
      <w:lvlJc w:val="left"/>
      <w:pPr>
        <w:ind w:left="2160" w:hanging="360"/>
      </w:pPr>
      <w:rPr>
        <w:rFonts w:ascii="Wingdings" w:hAnsi="Wingdings" w:hint="default"/>
      </w:rPr>
    </w:lvl>
    <w:lvl w:ilvl="3" w:tplc="EC82CC70" w:tentative="1">
      <w:start w:val="1"/>
      <w:numFmt w:val="bullet"/>
      <w:lvlText w:val=""/>
      <w:lvlJc w:val="left"/>
      <w:pPr>
        <w:ind w:left="2880" w:hanging="360"/>
      </w:pPr>
      <w:rPr>
        <w:rFonts w:ascii="Symbol" w:hAnsi="Symbol" w:hint="default"/>
      </w:rPr>
    </w:lvl>
    <w:lvl w:ilvl="4" w:tplc="58C4C326" w:tentative="1">
      <w:start w:val="1"/>
      <w:numFmt w:val="bullet"/>
      <w:lvlText w:val="o"/>
      <w:lvlJc w:val="left"/>
      <w:pPr>
        <w:ind w:left="3600" w:hanging="360"/>
      </w:pPr>
      <w:rPr>
        <w:rFonts w:ascii="Courier New" w:hAnsi="Courier New" w:cs="Courier New" w:hint="default"/>
      </w:rPr>
    </w:lvl>
    <w:lvl w:ilvl="5" w:tplc="24FE8AD4" w:tentative="1">
      <w:start w:val="1"/>
      <w:numFmt w:val="bullet"/>
      <w:lvlText w:val=""/>
      <w:lvlJc w:val="left"/>
      <w:pPr>
        <w:ind w:left="4320" w:hanging="360"/>
      </w:pPr>
      <w:rPr>
        <w:rFonts w:ascii="Wingdings" w:hAnsi="Wingdings" w:hint="default"/>
      </w:rPr>
    </w:lvl>
    <w:lvl w:ilvl="6" w:tplc="6562E296" w:tentative="1">
      <w:start w:val="1"/>
      <w:numFmt w:val="bullet"/>
      <w:lvlText w:val=""/>
      <w:lvlJc w:val="left"/>
      <w:pPr>
        <w:ind w:left="5040" w:hanging="360"/>
      </w:pPr>
      <w:rPr>
        <w:rFonts w:ascii="Symbol" w:hAnsi="Symbol" w:hint="default"/>
      </w:rPr>
    </w:lvl>
    <w:lvl w:ilvl="7" w:tplc="26969798" w:tentative="1">
      <w:start w:val="1"/>
      <w:numFmt w:val="bullet"/>
      <w:lvlText w:val="o"/>
      <w:lvlJc w:val="left"/>
      <w:pPr>
        <w:ind w:left="5760" w:hanging="360"/>
      </w:pPr>
      <w:rPr>
        <w:rFonts w:ascii="Courier New" w:hAnsi="Courier New" w:cs="Courier New" w:hint="default"/>
      </w:rPr>
    </w:lvl>
    <w:lvl w:ilvl="8" w:tplc="21A64F1C" w:tentative="1">
      <w:start w:val="1"/>
      <w:numFmt w:val="bullet"/>
      <w:lvlText w:val=""/>
      <w:lvlJc w:val="left"/>
      <w:pPr>
        <w:ind w:left="6480" w:hanging="360"/>
      </w:pPr>
      <w:rPr>
        <w:rFonts w:ascii="Wingdings" w:hAnsi="Wingdings" w:hint="default"/>
      </w:rPr>
    </w:lvl>
  </w:abstractNum>
  <w:abstractNum w:abstractNumId="12">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4D91E03"/>
    <w:multiLevelType w:val="hybridMultilevel"/>
    <w:tmpl w:val="2292C15C"/>
    <w:lvl w:ilvl="0" w:tplc="746251E2">
      <w:start w:val="1"/>
      <w:numFmt w:val="bullet"/>
      <w:lvlText w:val=""/>
      <w:lvlJc w:val="left"/>
      <w:pPr>
        <w:ind w:left="720" w:hanging="360"/>
      </w:pPr>
      <w:rPr>
        <w:rFonts w:ascii="Symbol" w:hAnsi="Symbol" w:hint="default"/>
      </w:rPr>
    </w:lvl>
    <w:lvl w:ilvl="1" w:tplc="B0321444" w:tentative="1">
      <w:start w:val="1"/>
      <w:numFmt w:val="bullet"/>
      <w:lvlText w:val="o"/>
      <w:lvlJc w:val="left"/>
      <w:pPr>
        <w:ind w:left="1440" w:hanging="360"/>
      </w:pPr>
      <w:rPr>
        <w:rFonts w:ascii="Courier New" w:hAnsi="Courier New" w:cs="Courier New" w:hint="default"/>
      </w:rPr>
    </w:lvl>
    <w:lvl w:ilvl="2" w:tplc="E2EADC5E" w:tentative="1">
      <w:start w:val="1"/>
      <w:numFmt w:val="bullet"/>
      <w:lvlText w:val=""/>
      <w:lvlJc w:val="left"/>
      <w:pPr>
        <w:ind w:left="2160" w:hanging="360"/>
      </w:pPr>
      <w:rPr>
        <w:rFonts w:ascii="Wingdings" w:hAnsi="Wingdings" w:hint="default"/>
      </w:rPr>
    </w:lvl>
    <w:lvl w:ilvl="3" w:tplc="8454FA04" w:tentative="1">
      <w:start w:val="1"/>
      <w:numFmt w:val="bullet"/>
      <w:lvlText w:val=""/>
      <w:lvlJc w:val="left"/>
      <w:pPr>
        <w:ind w:left="2880" w:hanging="360"/>
      </w:pPr>
      <w:rPr>
        <w:rFonts w:ascii="Symbol" w:hAnsi="Symbol" w:hint="default"/>
      </w:rPr>
    </w:lvl>
    <w:lvl w:ilvl="4" w:tplc="1ABAADFC" w:tentative="1">
      <w:start w:val="1"/>
      <w:numFmt w:val="bullet"/>
      <w:lvlText w:val="o"/>
      <w:lvlJc w:val="left"/>
      <w:pPr>
        <w:ind w:left="3600" w:hanging="360"/>
      </w:pPr>
      <w:rPr>
        <w:rFonts w:ascii="Courier New" w:hAnsi="Courier New" w:cs="Courier New" w:hint="default"/>
      </w:rPr>
    </w:lvl>
    <w:lvl w:ilvl="5" w:tplc="077A279A" w:tentative="1">
      <w:start w:val="1"/>
      <w:numFmt w:val="bullet"/>
      <w:lvlText w:val=""/>
      <w:lvlJc w:val="left"/>
      <w:pPr>
        <w:ind w:left="4320" w:hanging="360"/>
      </w:pPr>
      <w:rPr>
        <w:rFonts w:ascii="Wingdings" w:hAnsi="Wingdings" w:hint="default"/>
      </w:rPr>
    </w:lvl>
    <w:lvl w:ilvl="6" w:tplc="A544A526" w:tentative="1">
      <w:start w:val="1"/>
      <w:numFmt w:val="bullet"/>
      <w:lvlText w:val=""/>
      <w:lvlJc w:val="left"/>
      <w:pPr>
        <w:ind w:left="5040" w:hanging="360"/>
      </w:pPr>
      <w:rPr>
        <w:rFonts w:ascii="Symbol" w:hAnsi="Symbol" w:hint="default"/>
      </w:rPr>
    </w:lvl>
    <w:lvl w:ilvl="7" w:tplc="0B24DD9E" w:tentative="1">
      <w:start w:val="1"/>
      <w:numFmt w:val="bullet"/>
      <w:lvlText w:val="o"/>
      <w:lvlJc w:val="left"/>
      <w:pPr>
        <w:ind w:left="5760" w:hanging="360"/>
      </w:pPr>
      <w:rPr>
        <w:rFonts w:ascii="Courier New" w:hAnsi="Courier New" w:cs="Courier New" w:hint="default"/>
      </w:rPr>
    </w:lvl>
    <w:lvl w:ilvl="8" w:tplc="91D4F808" w:tentative="1">
      <w:start w:val="1"/>
      <w:numFmt w:val="bullet"/>
      <w:lvlText w:val=""/>
      <w:lvlJc w:val="left"/>
      <w:pPr>
        <w:ind w:left="6480" w:hanging="360"/>
      </w:pPr>
      <w:rPr>
        <w:rFonts w:ascii="Wingdings" w:hAnsi="Wingdings" w:hint="default"/>
      </w:rPr>
    </w:lvl>
  </w:abstractNum>
  <w:abstractNum w:abstractNumId="14">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79D636E"/>
    <w:multiLevelType w:val="hybridMultilevel"/>
    <w:tmpl w:val="E794A8BA"/>
    <w:lvl w:ilvl="0" w:tplc="0E9CC55E">
      <w:start w:val="1"/>
      <w:numFmt w:val="bullet"/>
      <w:lvlText w:val=""/>
      <w:lvlJc w:val="left"/>
      <w:pPr>
        <w:ind w:left="720" w:hanging="360"/>
      </w:pPr>
      <w:rPr>
        <w:rFonts w:ascii="Symbol" w:hAnsi="Symbol" w:hint="default"/>
      </w:rPr>
    </w:lvl>
    <w:lvl w:ilvl="1" w:tplc="1A42A3A4" w:tentative="1">
      <w:start w:val="1"/>
      <w:numFmt w:val="bullet"/>
      <w:lvlText w:val="o"/>
      <w:lvlJc w:val="left"/>
      <w:pPr>
        <w:ind w:left="1440" w:hanging="360"/>
      </w:pPr>
      <w:rPr>
        <w:rFonts w:ascii="Courier New" w:hAnsi="Courier New" w:hint="default"/>
      </w:rPr>
    </w:lvl>
    <w:lvl w:ilvl="2" w:tplc="4684A0FA" w:tentative="1">
      <w:start w:val="1"/>
      <w:numFmt w:val="bullet"/>
      <w:lvlText w:val=""/>
      <w:lvlJc w:val="left"/>
      <w:pPr>
        <w:ind w:left="2160" w:hanging="360"/>
      </w:pPr>
      <w:rPr>
        <w:rFonts w:ascii="Wingdings" w:hAnsi="Wingdings" w:hint="default"/>
      </w:rPr>
    </w:lvl>
    <w:lvl w:ilvl="3" w:tplc="4998C896" w:tentative="1">
      <w:start w:val="1"/>
      <w:numFmt w:val="bullet"/>
      <w:lvlText w:val=""/>
      <w:lvlJc w:val="left"/>
      <w:pPr>
        <w:ind w:left="2880" w:hanging="360"/>
      </w:pPr>
      <w:rPr>
        <w:rFonts w:ascii="Symbol" w:hAnsi="Symbol" w:hint="default"/>
      </w:rPr>
    </w:lvl>
    <w:lvl w:ilvl="4" w:tplc="B67A1AEC" w:tentative="1">
      <w:start w:val="1"/>
      <w:numFmt w:val="bullet"/>
      <w:lvlText w:val="o"/>
      <w:lvlJc w:val="left"/>
      <w:pPr>
        <w:ind w:left="3600" w:hanging="360"/>
      </w:pPr>
      <w:rPr>
        <w:rFonts w:ascii="Courier New" w:hAnsi="Courier New" w:hint="default"/>
      </w:rPr>
    </w:lvl>
    <w:lvl w:ilvl="5" w:tplc="478AC7AC" w:tentative="1">
      <w:start w:val="1"/>
      <w:numFmt w:val="bullet"/>
      <w:lvlText w:val=""/>
      <w:lvlJc w:val="left"/>
      <w:pPr>
        <w:ind w:left="4320" w:hanging="360"/>
      </w:pPr>
      <w:rPr>
        <w:rFonts w:ascii="Wingdings" w:hAnsi="Wingdings" w:hint="default"/>
      </w:rPr>
    </w:lvl>
    <w:lvl w:ilvl="6" w:tplc="BFD4BD96" w:tentative="1">
      <w:start w:val="1"/>
      <w:numFmt w:val="bullet"/>
      <w:lvlText w:val=""/>
      <w:lvlJc w:val="left"/>
      <w:pPr>
        <w:ind w:left="5040" w:hanging="360"/>
      </w:pPr>
      <w:rPr>
        <w:rFonts w:ascii="Symbol" w:hAnsi="Symbol" w:hint="default"/>
      </w:rPr>
    </w:lvl>
    <w:lvl w:ilvl="7" w:tplc="D036400A" w:tentative="1">
      <w:start w:val="1"/>
      <w:numFmt w:val="bullet"/>
      <w:lvlText w:val="o"/>
      <w:lvlJc w:val="left"/>
      <w:pPr>
        <w:ind w:left="5760" w:hanging="360"/>
      </w:pPr>
      <w:rPr>
        <w:rFonts w:ascii="Courier New" w:hAnsi="Courier New" w:hint="default"/>
      </w:rPr>
    </w:lvl>
    <w:lvl w:ilvl="8" w:tplc="54CC7830" w:tentative="1">
      <w:start w:val="1"/>
      <w:numFmt w:val="bullet"/>
      <w:lvlText w:val=""/>
      <w:lvlJc w:val="left"/>
      <w:pPr>
        <w:ind w:left="6480" w:hanging="360"/>
      </w:pPr>
      <w:rPr>
        <w:rFonts w:ascii="Wingdings" w:hAnsi="Wingdings" w:hint="default"/>
      </w:rPr>
    </w:lvl>
  </w:abstractNum>
  <w:abstractNum w:abstractNumId="21">
    <w:nsid w:val="2B3F42F5"/>
    <w:multiLevelType w:val="hybridMultilevel"/>
    <w:tmpl w:val="5BA8AD8E"/>
    <w:lvl w:ilvl="0" w:tplc="46F0F434">
      <w:start w:val="1"/>
      <w:numFmt w:val="bullet"/>
      <w:lvlText w:val=""/>
      <w:lvlJc w:val="left"/>
      <w:pPr>
        <w:ind w:left="720" w:hanging="360"/>
      </w:pPr>
      <w:rPr>
        <w:rFonts w:ascii="Symbol" w:hAnsi="Symbol" w:hint="default"/>
      </w:rPr>
    </w:lvl>
    <w:lvl w:ilvl="1" w:tplc="077C96EE">
      <w:start w:val="1"/>
      <w:numFmt w:val="bullet"/>
      <w:lvlText w:val="o"/>
      <w:lvlJc w:val="left"/>
      <w:pPr>
        <w:ind w:left="1440" w:hanging="360"/>
      </w:pPr>
      <w:rPr>
        <w:rFonts w:ascii="Courier New" w:hAnsi="Courier New" w:hint="default"/>
      </w:rPr>
    </w:lvl>
    <w:lvl w:ilvl="2" w:tplc="B75CE6D8" w:tentative="1">
      <w:start w:val="1"/>
      <w:numFmt w:val="bullet"/>
      <w:lvlText w:val=""/>
      <w:lvlJc w:val="left"/>
      <w:pPr>
        <w:ind w:left="2160" w:hanging="360"/>
      </w:pPr>
      <w:rPr>
        <w:rFonts w:ascii="Wingdings" w:hAnsi="Wingdings" w:hint="default"/>
      </w:rPr>
    </w:lvl>
    <w:lvl w:ilvl="3" w:tplc="B36E0056" w:tentative="1">
      <w:start w:val="1"/>
      <w:numFmt w:val="bullet"/>
      <w:lvlText w:val=""/>
      <w:lvlJc w:val="left"/>
      <w:pPr>
        <w:ind w:left="2880" w:hanging="360"/>
      </w:pPr>
      <w:rPr>
        <w:rFonts w:ascii="Symbol" w:hAnsi="Symbol" w:hint="default"/>
      </w:rPr>
    </w:lvl>
    <w:lvl w:ilvl="4" w:tplc="514C217A" w:tentative="1">
      <w:start w:val="1"/>
      <w:numFmt w:val="bullet"/>
      <w:lvlText w:val="o"/>
      <w:lvlJc w:val="left"/>
      <w:pPr>
        <w:ind w:left="3600" w:hanging="360"/>
      </w:pPr>
      <w:rPr>
        <w:rFonts w:ascii="Courier New" w:hAnsi="Courier New" w:hint="default"/>
      </w:rPr>
    </w:lvl>
    <w:lvl w:ilvl="5" w:tplc="92FE93CA" w:tentative="1">
      <w:start w:val="1"/>
      <w:numFmt w:val="bullet"/>
      <w:lvlText w:val=""/>
      <w:lvlJc w:val="left"/>
      <w:pPr>
        <w:ind w:left="4320" w:hanging="360"/>
      </w:pPr>
      <w:rPr>
        <w:rFonts w:ascii="Wingdings" w:hAnsi="Wingdings" w:hint="default"/>
      </w:rPr>
    </w:lvl>
    <w:lvl w:ilvl="6" w:tplc="4D62F920" w:tentative="1">
      <w:start w:val="1"/>
      <w:numFmt w:val="bullet"/>
      <w:lvlText w:val=""/>
      <w:lvlJc w:val="left"/>
      <w:pPr>
        <w:ind w:left="5040" w:hanging="360"/>
      </w:pPr>
      <w:rPr>
        <w:rFonts w:ascii="Symbol" w:hAnsi="Symbol" w:hint="default"/>
      </w:rPr>
    </w:lvl>
    <w:lvl w:ilvl="7" w:tplc="F16E8E90" w:tentative="1">
      <w:start w:val="1"/>
      <w:numFmt w:val="bullet"/>
      <w:lvlText w:val="o"/>
      <w:lvlJc w:val="left"/>
      <w:pPr>
        <w:ind w:left="5760" w:hanging="360"/>
      </w:pPr>
      <w:rPr>
        <w:rFonts w:ascii="Courier New" w:hAnsi="Courier New" w:hint="default"/>
      </w:rPr>
    </w:lvl>
    <w:lvl w:ilvl="8" w:tplc="D0F28502" w:tentative="1">
      <w:start w:val="1"/>
      <w:numFmt w:val="bullet"/>
      <w:lvlText w:val=""/>
      <w:lvlJc w:val="left"/>
      <w:pPr>
        <w:ind w:left="6480" w:hanging="360"/>
      </w:pPr>
      <w:rPr>
        <w:rFonts w:ascii="Wingdings" w:hAnsi="Wingdings" w:hint="default"/>
      </w:rPr>
    </w:lvl>
  </w:abstractNum>
  <w:abstractNum w:abstractNumId="22">
    <w:nsid w:val="2CD4758F"/>
    <w:multiLevelType w:val="hybridMultilevel"/>
    <w:tmpl w:val="E80212C4"/>
    <w:lvl w:ilvl="0" w:tplc="FEBABDC0">
      <w:start w:val="1"/>
      <w:numFmt w:val="bullet"/>
      <w:lvlText w:val=""/>
      <w:lvlJc w:val="left"/>
      <w:pPr>
        <w:ind w:left="720" w:hanging="360"/>
      </w:pPr>
      <w:rPr>
        <w:rFonts w:ascii="Symbol" w:hAnsi="Symbol" w:hint="default"/>
      </w:rPr>
    </w:lvl>
    <w:lvl w:ilvl="1" w:tplc="15CED6B0">
      <w:start w:val="1"/>
      <w:numFmt w:val="bullet"/>
      <w:lvlText w:val="o"/>
      <w:lvlJc w:val="left"/>
      <w:pPr>
        <w:ind w:left="1440" w:hanging="360"/>
      </w:pPr>
      <w:rPr>
        <w:rFonts w:ascii="Courier New" w:hAnsi="Courier New" w:hint="default"/>
      </w:rPr>
    </w:lvl>
    <w:lvl w:ilvl="2" w:tplc="C22EFF44" w:tentative="1">
      <w:start w:val="1"/>
      <w:numFmt w:val="bullet"/>
      <w:lvlText w:val=""/>
      <w:lvlJc w:val="left"/>
      <w:pPr>
        <w:ind w:left="2160" w:hanging="360"/>
      </w:pPr>
      <w:rPr>
        <w:rFonts w:ascii="Wingdings" w:hAnsi="Wingdings" w:hint="default"/>
      </w:rPr>
    </w:lvl>
    <w:lvl w:ilvl="3" w:tplc="9A844BC0" w:tentative="1">
      <w:start w:val="1"/>
      <w:numFmt w:val="bullet"/>
      <w:lvlText w:val=""/>
      <w:lvlJc w:val="left"/>
      <w:pPr>
        <w:ind w:left="2880" w:hanging="360"/>
      </w:pPr>
      <w:rPr>
        <w:rFonts w:ascii="Symbol" w:hAnsi="Symbol" w:hint="default"/>
      </w:rPr>
    </w:lvl>
    <w:lvl w:ilvl="4" w:tplc="7948516C" w:tentative="1">
      <w:start w:val="1"/>
      <w:numFmt w:val="bullet"/>
      <w:lvlText w:val="o"/>
      <w:lvlJc w:val="left"/>
      <w:pPr>
        <w:ind w:left="3600" w:hanging="360"/>
      </w:pPr>
      <w:rPr>
        <w:rFonts w:ascii="Courier New" w:hAnsi="Courier New" w:hint="default"/>
      </w:rPr>
    </w:lvl>
    <w:lvl w:ilvl="5" w:tplc="0ACC928E" w:tentative="1">
      <w:start w:val="1"/>
      <w:numFmt w:val="bullet"/>
      <w:lvlText w:val=""/>
      <w:lvlJc w:val="left"/>
      <w:pPr>
        <w:ind w:left="4320" w:hanging="360"/>
      </w:pPr>
      <w:rPr>
        <w:rFonts w:ascii="Wingdings" w:hAnsi="Wingdings" w:hint="default"/>
      </w:rPr>
    </w:lvl>
    <w:lvl w:ilvl="6" w:tplc="EC56601C" w:tentative="1">
      <w:start w:val="1"/>
      <w:numFmt w:val="bullet"/>
      <w:lvlText w:val=""/>
      <w:lvlJc w:val="left"/>
      <w:pPr>
        <w:ind w:left="5040" w:hanging="360"/>
      </w:pPr>
      <w:rPr>
        <w:rFonts w:ascii="Symbol" w:hAnsi="Symbol" w:hint="default"/>
      </w:rPr>
    </w:lvl>
    <w:lvl w:ilvl="7" w:tplc="77BA83D4" w:tentative="1">
      <w:start w:val="1"/>
      <w:numFmt w:val="bullet"/>
      <w:lvlText w:val="o"/>
      <w:lvlJc w:val="left"/>
      <w:pPr>
        <w:ind w:left="5760" w:hanging="360"/>
      </w:pPr>
      <w:rPr>
        <w:rFonts w:ascii="Courier New" w:hAnsi="Courier New" w:hint="default"/>
      </w:rPr>
    </w:lvl>
    <w:lvl w:ilvl="8" w:tplc="B9BCF988" w:tentative="1">
      <w:start w:val="1"/>
      <w:numFmt w:val="bullet"/>
      <w:lvlText w:val=""/>
      <w:lvlJc w:val="left"/>
      <w:pPr>
        <w:ind w:left="6480" w:hanging="360"/>
      </w:pPr>
      <w:rPr>
        <w:rFonts w:ascii="Wingdings" w:hAnsi="Wingdings" w:hint="default"/>
      </w:rPr>
    </w:lvl>
  </w:abstractNum>
  <w:abstractNum w:abstractNumId="23">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9">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764637A7"/>
    <w:multiLevelType w:val="hybridMultilevel"/>
    <w:tmpl w:val="7FD21FF2"/>
    <w:lvl w:ilvl="0" w:tplc="A53EBDFE">
      <w:start w:val="1"/>
      <w:numFmt w:val="bullet"/>
      <w:lvlText w:val=""/>
      <w:lvlJc w:val="left"/>
      <w:pPr>
        <w:ind w:left="720" w:hanging="360"/>
      </w:pPr>
      <w:rPr>
        <w:rFonts w:ascii="Symbol" w:hAnsi="Symbol" w:hint="default"/>
      </w:rPr>
    </w:lvl>
    <w:lvl w:ilvl="1" w:tplc="6352B25E">
      <w:start w:val="1"/>
      <w:numFmt w:val="bullet"/>
      <w:lvlText w:val="o"/>
      <w:lvlJc w:val="left"/>
      <w:pPr>
        <w:ind w:left="1440" w:hanging="360"/>
      </w:pPr>
      <w:rPr>
        <w:rFonts w:ascii="Courier New" w:hAnsi="Courier New" w:cs="Courier New" w:hint="default"/>
      </w:rPr>
    </w:lvl>
    <w:lvl w:ilvl="2" w:tplc="5852A07E" w:tentative="1">
      <w:start w:val="1"/>
      <w:numFmt w:val="bullet"/>
      <w:lvlText w:val=""/>
      <w:lvlJc w:val="left"/>
      <w:pPr>
        <w:ind w:left="2160" w:hanging="360"/>
      </w:pPr>
      <w:rPr>
        <w:rFonts w:ascii="Wingdings" w:hAnsi="Wingdings" w:hint="default"/>
      </w:rPr>
    </w:lvl>
    <w:lvl w:ilvl="3" w:tplc="AD4480F6" w:tentative="1">
      <w:start w:val="1"/>
      <w:numFmt w:val="bullet"/>
      <w:lvlText w:val=""/>
      <w:lvlJc w:val="left"/>
      <w:pPr>
        <w:ind w:left="2880" w:hanging="360"/>
      </w:pPr>
      <w:rPr>
        <w:rFonts w:ascii="Symbol" w:hAnsi="Symbol" w:hint="default"/>
      </w:rPr>
    </w:lvl>
    <w:lvl w:ilvl="4" w:tplc="FA60C10A" w:tentative="1">
      <w:start w:val="1"/>
      <w:numFmt w:val="bullet"/>
      <w:lvlText w:val="o"/>
      <w:lvlJc w:val="left"/>
      <w:pPr>
        <w:ind w:left="3600" w:hanging="360"/>
      </w:pPr>
      <w:rPr>
        <w:rFonts w:ascii="Courier New" w:hAnsi="Courier New" w:cs="Courier New" w:hint="default"/>
      </w:rPr>
    </w:lvl>
    <w:lvl w:ilvl="5" w:tplc="4EBE35C0" w:tentative="1">
      <w:start w:val="1"/>
      <w:numFmt w:val="bullet"/>
      <w:lvlText w:val=""/>
      <w:lvlJc w:val="left"/>
      <w:pPr>
        <w:ind w:left="4320" w:hanging="360"/>
      </w:pPr>
      <w:rPr>
        <w:rFonts w:ascii="Wingdings" w:hAnsi="Wingdings" w:hint="default"/>
      </w:rPr>
    </w:lvl>
    <w:lvl w:ilvl="6" w:tplc="538208EA" w:tentative="1">
      <w:start w:val="1"/>
      <w:numFmt w:val="bullet"/>
      <w:lvlText w:val=""/>
      <w:lvlJc w:val="left"/>
      <w:pPr>
        <w:ind w:left="5040" w:hanging="360"/>
      </w:pPr>
      <w:rPr>
        <w:rFonts w:ascii="Symbol" w:hAnsi="Symbol" w:hint="default"/>
      </w:rPr>
    </w:lvl>
    <w:lvl w:ilvl="7" w:tplc="4C8628DA" w:tentative="1">
      <w:start w:val="1"/>
      <w:numFmt w:val="bullet"/>
      <w:lvlText w:val="o"/>
      <w:lvlJc w:val="left"/>
      <w:pPr>
        <w:ind w:left="5760" w:hanging="360"/>
      </w:pPr>
      <w:rPr>
        <w:rFonts w:ascii="Courier New" w:hAnsi="Courier New" w:cs="Courier New" w:hint="default"/>
      </w:rPr>
    </w:lvl>
    <w:lvl w:ilvl="8" w:tplc="A3267A80" w:tentative="1">
      <w:start w:val="1"/>
      <w:numFmt w:val="bullet"/>
      <w:lvlText w:val=""/>
      <w:lvlJc w:val="left"/>
      <w:pPr>
        <w:ind w:left="6480" w:hanging="360"/>
      </w:pPr>
      <w:rPr>
        <w:rFonts w:ascii="Wingdings" w:hAnsi="Wingdings" w:hint="default"/>
      </w:rPr>
    </w:lvl>
  </w:abstractNum>
  <w:abstractNum w:abstractNumId="34">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8"/>
  </w:num>
  <w:num w:numId="2">
    <w:abstractNumId w:val="16"/>
  </w:num>
  <w:num w:numId="3">
    <w:abstractNumId w:val="30"/>
  </w:num>
  <w:num w:numId="4">
    <w:abstractNumId w:val="10"/>
  </w:num>
  <w:num w:numId="5">
    <w:abstractNumId w:val="32"/>
  </w:num>
  <w:num w:numId="6">
    <w:abstractNumId w:val="8"/>
  </w:num>
  <w:num w:numId="7">
    <w:abstractNumId w:val="28"/>
  </w:num>
  <w:num w:numId="8">
    <w:abstractNumId w:val="7"/>
  </w:num>
  <w:num w:numId="9">
    <w:abstractNumId w:val="27"/>
  </w:num>
  <w:num w:numId="10">
    <w:abstractNumId w:val="34"/>
  </w:num>
  <w:num w:numId="11">
    <w:abstractNumId w:val="17"/>
  </w:num>
  <w:num w:numId="12">
    <w:abstractNumId w:val="24"/>
  </w:num>
  <w:num w:numId="13">
    <w:abstractNumId w:val="15"/>
  </w:num>
  <w:num w:numId="14">
    <w:abstractNumId w:val="29"/>
  </w:num>
  <w:num w:numId="15">
    <w:abstractNumId w:val="31"/>
  </w:num>
  <w:num w:numId="16">
    <w:abstractNumId w:val="26"/>
  </w:num>
  <w:num w:numId="17">
    <w:abstractNumId w:val="23"/>
  </w:num>
  <w:num w:numId="18">
    <w:abstractNumId w:val="12"/>
  </w:num>
  <w:num w:numId="19">
    <w:abstractNumId w:val="14"/>
  </w:num>
  <w:num w:numId="20">
    <w:abstractNumId w:val="19"/>
  </w:num>
  <w:num w:numId="21">
    <w:abstractNumId w:val="25"/>
  </w:num>
  <w:num w:numId="22">
    <w:abstractNumId w:val="21"/>
  </w:num>
  <w:num w:numId="23">
    <w:abstractNumId w:val="11"/>
  </w:num>
  <w:num w:numId="24">
    <w:abstractNumId w:val="22"/>
  </w:num>
  <w:num w:numId="25">
    <w:abstractNumId w:val="20"/>
  </w:num>
  <w:num w:numId="26">
    <w:abstractNumId w:val="33"/>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13"/>
  </w:num>
  <w:numIdMacAtCleanup w:val="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a Toews">
    <w15:presenceInfo w15:providerId="Windows Live" w15:userId="a078aaf8b09729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en-CA" w:vendorID="6" w:dllVersion="2" w:checkStyle="1"/>
  <w:activeWritingStyle w:appName="MSWord" w:lang="en-US" w:vendorID="6" w:dllVersion="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1D1C"/>
    <w:rsid w:val="00002275"/>
    <w:rsid w:val="00011287"/>
    <w:rsid w:val="000130AD"/>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A2DB3"/>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3D17"/>
    <w:rsid w:val="004665B1"/>
    <w:rsid w:val="00481839"/>
    <w:rsid w:val="00482426"/>
    <w:rsid w:val="00483E58"/>
    <w:rsid w:val="004902CC"/>
    <w:rsid w:val="004B385C"/>
    <w:rsid w:val="004B5AE7"/>
    <w:rsid w:val="004B61E3"/>
    <w:rsid w:val="004B7B36"/>
    <w:rsid w:val="004C3D15"/>
    <w:rsid w:val="004C42DE"/>
    <w:rsid w:val="004C42F8"/>
    <w:rsid w:val="004C677A"/>
    <w:rsid w:val="004D43AD"/>
    <w:rsid w:val="004D4F1C"/>
    <w:rsid w:val="004D7F83"/>
    <w:rsid w:val="004E0819"/>
    <w:rsid w:val="004E2545"/>
    <w:rsid w:val="004F2F73"/>
    <w:rsid w:val="005028A4"/>
    <w:rsid w:val="00514397"/>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1C7"/>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3E82"/>
    <w:rsid w:val="00635122"/>
    <w:rsid w:val="0065155B"/>
    <w:rsid w:val="0065155F"/>
    <w:rsid w:val="0065190D"/>
    <w:rsid w:val="0065415C"/>
    <w:rsid w:val="00670832"/>
    <w:rsid w:val="00670E49"/>
    <w:rsid w:val="00677D48"/>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05AD0"/>
    <w:rsid w:val="00816BEB"/>
    <w:rsid w:val="00821DEC"/>
    <w:rsid w:val="008310FD"/>
    <w:rsid w:val="00834179"/>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0BF5"/>
    <w:rsid w:val="00A53362"/>
    <w:rsid w:val="00A600A1"/>
    <w:rsid w:val="00A608D1"/>
    <w:rsid w:val="00A620C3"/>
    <w:rsid w:val="00A645AF"/>
    <w:rsid w:val="00A6463A"/>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3EF"/>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0FD"/>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455DB"/>
    <w:rsid w:val="00E55EF1"/>
    <w:rsid w:val="00E62834"/>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3757"/>
    <w:rsid w:val="00ED6CC1"/>
    <w:rsid w:val="00EF2B92"/>
    <w:rsid w:val="00F015BE"/>
    <w:rsid w:val="00F03477"/>
    <w:rsid w:val="00F12B79"/>
    <w:rsid w:val="00F13207"/>
    <w:rsid w:val="00F14960"/>
    <w:rsid w:val="00F218FE"/>
    <w:rsid w:val="00F2529E"/>
    <w:rsid w:val="00F30825"/>
    <w:rsid w:val="00F35AA9"/>
    <w:rsid w:val="00F4573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E455DB"/>
    <w:rPr>
      <w:rFonts w:ascii="Calibri" w:eastAsia="Calibri" w:hAnsi="Calibri"/>
      <w:sz w:val="22"/>
      <w:szCs w:val="22"/>
      <w:lang w:val="en-CA"/>
    </w:rPr>
  </w:style>
  <w:style w:type="paragraph" w:customStyle="1" w:styleId="TopicSubItalics">
    <w:name w:val="Topic Sub Italics"/>
    <w:basedOn w:val="Normal"/>
    <w:qFormat/>
    <w:rsid w:val="00834179"/>
    <w:pPr>
      <w:widowControl w:val="0"/>
      <w:spacing w:before="120" w:after="60"/>
      <w:ind w:left="220"/>
      <w:contextualSpacing/>
    </w:pPr>
    <w:rPr>
      <w:rFonts w:ascii="Helvetica" w:hAnsi="Helvetica"/>
      <w:b/>
      <w:i/>
      <w:color w:val="577078"/>
      <w:sz w:val="20"/>
      <w:szCs w:val="22"/>
      <w:lang w:val="en-C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E455DB"/>
    <w:rPr>
      <w:rFonts w:ascii="Calibri" w:eastAsia="Calibri" w:hAnsi="Calibri"/>
      <w:sz w:val="22"/>
      <w:szCs w:val="22"/>
      <w:lang w:val="en-CA"/>
    </w:rPr>
  </w:style>
  <w:style w:type="paragraph" w:customStyle="1" w:styleId="TopicSubItalics">
    <w:name w:val="Topic Sub Italics"/>
    <w:basedOn w:val="Normal"/>
    <w:qFormat/>
    <w:rsid w:val="00834179"/>
    <w:pPr>
      <w:widowControl w:val="0"/>
      <w:spacing w:before="120" w:after="60"/>
      <w:ind w:left="220"/>
      <w:contextualSpacing/>
    </w:pPr>
    <w:rPr>
      <w:rFonts w:ascii="Helvetica" w:hAnsi="Helvetica"/>
      <w:b/>
      <w:i/>
      <w:color w:val="577078"/>
      <w:sz w:val="20"/>
      <w:szCs w:val="22"/>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CD4DF-2DA2-4379-B0FD-352932E7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1561</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11085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Branter, Lina IGRS:EX</cp:lastModifiedBy>
  <cp:revision>166</cp:revision>
  <cp:lastPrinted>2018-06-21T21:11:00Z</cp:lastPrinted>
  <dcterms:created xsi:type="dcterms:W3CDTF">2018-06-07T23:51:00Z</dcterms:created>
  <dcterms:modified xsi:type="dcterms:W3CDTF">2018-08-14T19:10:00Z</dcterms:modified>
</cp:coreProperties>
</file>