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5871D67" w:rsidR="0014420D" w:rsidRPr="00AD192C" w:rsidRDefault="0014420D" w:rsidP="007B4D81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AD192C">
        <w:rPr>
          <w:noProof/>
          <w:szCs w:val="20"/>
          <w:lang w:val="fr-CA"/>
        </w:rPr>
        <w:drawing>
          <wp:anchor distT="0" distB="0" distL="114300" distR="114300" simplePos="0" relativeHeight="251664896" behindDoc="0" locked="0" layoutInCell="1" allowOverlap="1" wp14:anchorId="5E7E01D8" wp14:editId="7C2E2C15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D81" w:rsidRPr="00AD192C">
        <w:rPr>
          <w:b/>
          <w:sz w:val="28"/>
          <w:lang w:val="fr-CA"/>
        </w:rPr>
        <w:t xml:space="preserve">Domaine d’apprentissage : </w:t>
      </w:r>
      <w:r w:rsidR="00AE5E3E" w:rsidRPr="00AD192C">
        <w:rPr>
          <w:b/>
          <w:sz w:val="28"/>
          <w:lang w:val="fr-CA"/>
        </w:rPr>
        <w:br/>
      </w:r>
      <w:r w:rsidR="007B4D81" w:rsidRPr="00AD192C">
        <w:rPr>
          <w:b/>
          <w:sz w:val="28"/>
          <w:lang w:val="fr-CA"/>
        </w:rPr>
        <w:t>CONCEPTION</w:t>
      </w:r>
      <w:r w:rsidR="007B4D81" w:rsidRPr="00AD192C">
        <w:rPr>
          <w:b/>
          <w:caps/>
          <w:sz w:val="28"/>
          <w:lang w:val="fr-CA"/>
        </w:rPr>
        <w:t>, COMPÉTENCES PRATIQUES ET TECHNOLOGIES</w:t>
      </w:r>
      <w:r w:rsidR="007B4D81" w:rsidRPr="00AD192C">
        <w:rPr>
          <w:b/>
          <w:sz w:val="28"/>
          <w:lang w:val="fr-CA"/>
        </w:rPr>
        <w:t xml:space="preserve"> — Étude des aliments</w:t>
      </w:r>
      <w:r w:rsidR="007B4D81" w:rsidRPr="00AD192C">
        <w:rPr>
          <w:b/>
          <w:sz w:val="28"/>
          <w:lang w:val="fr-CA"/>
        </w:rPr>
        <w:tab/>
        <w:t>10</w:t>
      </w:r>
      <w:r w:rsidR="007B4D81" w:rsidRPr="00AD192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B4D81" w:rsidRPr="00AD192C">
        <w:rPr>
          <w:b/>
          <w:sz w:val="28"/>
          <w:lang w:val="fr-CA"/>
        </w:rPr>
        <w:t xml:space="preserve"> année</w:t>
      </w:r>
    </w:p>
    <w:p w14:paraId="2E070600" w14:textId="77777777" w:rsidR="0014420D" w:rsidRPr="00AD192C" w:rsidRDefault="0014420D" w:rsidP="007B4D81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AD192C">
        <w:rPr>
          <w:b/>
          <w:sz w:val="28"/>
          <w:lang w:val="fr-CA"/>
        </w:rPr>
        <w:tab/>
      </w:r>
    </w:p>
    <w:p w14:paraId="5661E3BC" w14:textId="4D53DF5D" w:rsidR="00123905" w:rsidRPr="00AD192C" w:rsidRDefault="007B4D81" w:rsidP="007B4D81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AD192C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591"/>
        <w:gridCol w:w="236"/>
        <w:gridCol w:w="3832"/>
        <w:gridCol w:w="236"/>
        <w:gridCol w:w="3499"/>
      </w:tblGrid>
      <w:tr w:rsidR="007B4D81" w:rsidRPr="00AD192C" w14:paraId="4CA59F1C" w14:textId="77777777" w:rsidTr="007B4D81">
        <w:trPr>
          <w:jc w:val="center"/>
        </w:trPr>
        <w:tc>
          <w:tcPr>
            <w:tcW w:w="3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357B61F4" w:rsidR="005D26DB" w:rsidRPr="00AD192C" w:rsidRDefault="007B4D81" w:rsidP="007B4D81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AD192C">
              <w:rPr>
                <w:rFonts w:ascii="Helvetica" w:eastAsia="Arial" w:hAnsi="Helvetica" w:cs="Arial"/>
                <w:szCs w:val="20"/>
                <w:lang w:val="fr-CA"/>
              </w:rPr>
              <w:t>Les besoins et les préférences du consommateur orientent la production et la préparation des aliments.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5D26DB" w:rsidRPr="00AD192C" w:rsidRDefault="005D26DB" w:rsidP="007B4D8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8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49BA2787" w:rsidR="005D26DB" w:rsidRPr="00AD192C" w:rsidRDefault="007B4D81" w:rsidP="007B4D81">
            <w:pPr>
              <w:pStyle w:val="Tablestyle1"/>
              <w:rPr>
                <w:rFonts w:cs="Arial"/>
                <w:lang w:val="fr-CA"/>
              </w:rPr>
            </w:pPr>
            <w:r w:rsidRPr="00AD192C">
              <w:rPr>
                <w:rFonts w:ascii="Helvetica" w:hAnsi="Helvetica"/>
                <w:szCs w:val="20"/>
                <w:lang w:val="fr-CA"/>
              </w:rPr>
              <w:t>Les considérations sociales, éthiques et tenant compte des facteurs de durabilité ont une incidence sur la conception.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5D26DB" w:rsidRPr="00AD192C" w:rsidRDefault="005D26DB" w:rsidP="007B4D81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3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FD90E43" w:rsidR="005D26DB" w:rsidRPr="00AD192C" w:rsidRDefault="007B4D81" w:rsidP="007B4D81">
            <w:pPr>
              <w:pStyle w:val="Tablestyle1"/>
              <w:rPr>
                <w:rFonts w:cs="Arial"/>
                <w:lang w:val="fr-CA"/>
              </w:rPr>
            </w:pPr>
            <w:r w:rsidRPr="00AD192C">
              <w:rPr>
                <w:rFonts w:ascii="Helvetica" w:eastAsia="Arial" w:hAnsi="Helvetica" w:cs="Arial"/>
                <w:szCs w:val="20"/>
                <w:lang w:val="fr-CA"/>
              </w:rPr>
              <w:t>L’exécution de tâches complexes se fait à l’aide d’outils et de technologies variés selon les étapes.</w:t>
            </w:r>
          </w:p>
        </w:tc>
      </w:tr>
    </w:tbl>
    <w:p w14:paraId="08D5E2A5" w14:textId="77777777" w:rsidR="00123905" w:rsidRPr="00AD192C" w:rsidRDefault="00123905" w:rsidP="007B4D81">
      <w:pPr>
        <w:rPr>
          <w:sz w:val="13"/>
          <w:szCs w:val="13"/>
          <w:lang w:val="fr-CA"/>
        </w:rPr>
      </w:pPr>
    </w:p>
    <w:p w14:paraId="6513D803" w14:textId="61128C96" w:rsidR="00F9586F" w:rsidRPr="00AD192C" w:rsidRDefault="007B4D81" w:rsidP="007B4D81">
      <w:pPr>
        <w:spacing w:after="160"/>
        <w:jc w:val="center"/>
        <w:outlineLvl w:val="0"/>
        <w:rPr>
          <w:sz w:val="28"/>
          <w:lang w:val="fr-CA"/>
        </w:rPr>
      </w:pPr>
      <w:r w:rsidRPr="00AD192C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0"/>
        <w:gridCol w:w="3444"/>
      </w:tblGrid>
      <w:tr w:rsidR="007B4D81" w:rsidRPr="00AD192C" w14:paraId="7C49560F" w14:textId="77777777" w:rsidTr="007B4D81">
        <w:tc>
          <w:tcPr>
            <w:tcW w:w="3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43FA231" w:rsidR="00F9586F" w:rsidRPr="00AD192C" w:rsidRDefault="007B4D81" w:rsidP="007B4D81">
            <w:pPr>
              <w:spacing w:before="60" w:after="60"/>
              <w:rPr>
                <w:b/>
                <w:szCs w:val="22"/>
                <w:lang w:val="fr-CA"/>
              </w:rPr>
            </w:pPr>
            <w:r w:rsidRPr="00AD192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14108A82" w:rsidR="00F9586F" w:rsidRPr="00AD192C" w:rsidRDefault="007B4D81" w:rsidP="007B4D81">
            <w:pPr>
              <w:spacing w:before="60" w:after="60"/>
              <w:rPr>
                <w:b/>
                <w:szCs w:val="22"/>
                <w:lang w:val="fr-CA"/>
              </w:rPr>
            </w:pPr>
            <w:r w:rsidRPr="00AD192C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7B4D81" w:rsidRPr="00AD192C" w14:paraId="5149B766" w14:textId="77777777" w:rsidTr="007B4D81">
        <w:trPr>
          <w:trHeight w:val="484"/>
        </w:trPr>
        <w:tc>
          <w:tcPr>
            <w:tcW w:w="37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1B0DF7B8" w:rsidR="00F9586F" w:rsidRPr="00AD192C" w:rsidRDefault="007B4D81" w:rsidP="007B4D81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lang w:val="fr-CA"/>
              </w:rPr>
            </w:pPr>
            <w:r w:rsidRPr="00AD192C">
              <w:rPr>
                <w:rFonts w:ascii="Helvetica" w:eastAsia="Arial" w:hAnsi="Helvetica" w:cs="Arial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BB32ECC" w14:textId="3357E118" w:rsidR="0098762D" w:rsidRPr="00AD192C" w:rsidRDefault="007B4D81" w:rsidP="007B4D81">
            <w:pPr>
              <w:pStyle w:val="Topic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Conception</w:t>
            </w:r>
          </w:p>
          <w:p w14:paraId="2F83EC88" w14:textId="6149261D" w:rsidR="005D26DB" w:rsidRPr="00AD192C" w:rsidRDefault="007B4D81" w:rsidP="007B4D81">
            <w:pPr>
              <w:pStyle w:val="TopicSubItalics"/>
              <w:spacing w:before="100" w:after="4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Comprendre le contexte</w:t>
            </w:r>
          </w:p>
          <w:p w14:paraId="6FE1B356" w14:textId="161B1DFF" w:rsidR="005D26DB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>Observer et étudier le contexte d’une tâche ou d’une méthode de préparation de repas</w:t>
            </w:r>
          </w:p>
          <w:p w14:paraId="40A9DA43" w14:textId="1F65CBB9" w:rsidR="005D26DB" w:rsidRPr="00AD192C" w:rsidRDefault="007B4D81" w:rsidP="007B4D81">
            <w:pPr>
              <w:pStyle w:val="TopicSubItalics"/>
              <w:spacing w:before="80" w:after="2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Définir</w:t>
            </w:r>
          </w:p>
          <w:p w14:paraId="625971D4" w14:textId="77777777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>Relever et analyser divers points de vue sur une tâche ou méthode de conception de repas</w:t>
            </w:r>
          </w:p>
          <w:p w14:paraId="1C70BEE4" w14:textId="77777777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 xml:space="preserve">Relever des </w:t>
            </w:r>
            <w:r w:rsidRPr="00AD192C">
              <w:rPr>
                <w:rFonts w:eastAsia="Arial"/>
                <w:b/>
                <w:lang w:val="fr-CA"/>
              </w:rPr>
              <w:t xml:space="preserve">consommateurs </w:t>
            </w:r>
            <w:r w:rsidRPr="00AD192C">
              <w:rPr>
                <w:rFonts w:eastAsia="Arial"/>
                <w:lang w:val="fr-CA"/>
              </w:rPr>
              <w:t>et des contextes potentiels</w:t>
            </w:r>
            <w:r w:rsidRPr="00AD192C">
              <w:rPr>
                <w:color w:val="000000"/>
                <w:lang w:val="fr-CA"/>
              </w:rPr>
              <w:t xml:space="preserve"> </w:t>
            </w:r>
          </w:p>
          <w:p w14:paraId="2C57E162" w14:textId="77777777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 xml:space="preserve">Déterminer les critères de réussite, l’effet recherché et toute </w:t>
            </w:r>
            <w:r w:rsidRPr="00AD192C">
              <w:rPr>
                <w:rFonts w:eastAsia="Arial"/>
                <w:b/>
                <w:lang w:val="fr-CA"/>
              </w:rPr>
              <w:t>contrainte</w:t>
            </w:r>
            <w:r w:rsidRPr="00AD192C">
              <w:rPr>
                <w:rFonts w:eastAsia="Arial"/>
                <w:lang w:val="fr-CA"/>
              </w:rPr>
              <w:t xml:space="preserve"> existante</w:t>
            </w:r>
          </w:p>
          <w:p w14:paraId="6B372C44" w14:textId="426E3B0D" w:rsidR="005D26DB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>Déterminer les capacités et les limites physiques des espaces de travail</w:t>
            </w:r>
          </w:p>
          <w:p w14:paraId="3EAA1C1F" w14:textId="039AF551" w:rsidR="005D26DB" w:rsidRPr="00AD192C" w:rsidRDefault="007B4D81" w:rsidP="007B4D81">
            <w:pPr>
              <w:pStyle w:val="TopicSubItalics"/>
              <w:spacing w:before="80" w:after="2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Concevoir des idées</w:t>
            </w:r>
          </w:p>
          <w:p w14:paraId="02CFF453" w14:textId="77777777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b/>
                <w:lang w:val="fr-CA"/>
              </w:rPr>
              <w:t xml:space="preserve">Prendre des risques </w:t>
            </w:r>
            <w:r w:rsidRPr="00AD192C">
              <w:rPr>
                <w:rFonts w:eastAsia="Arial"/>
                <w:lang w:val="fr-CA"/>
              </w:rPr>
              <w:t xml:space="preserve">calculés pour relever de façon créative les </w:t>
            </w:r>
            <w:r w:rsidRPr="00AD192C">
              <w:rPr>
                <w:rFonts w:eastAsia="Arial"/>
                <w:b/>
                <w:lang w:val="fr-CA"/>
              </w:rPr>
              <w:t xml:space="preserve">défis </w:t>
            </w:r>
            <w:r w:rsidRPr="00AD192C">
              <w:rPr>
                <w:rFonts w:eastAsia="Arial"/>
                <w:lang w:val="fr-CA"/>
              </w:rPr>
              <w:t>qui se présentent</w:t>
            </w:r>
          </w:p>
          <w:p w14:paraId="7EDCB80A" w14:textId="7D7C460F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 xml:space="preserve">Analyser les répercussions de facteurs opposés </w:t>
            </w:r>
            <w:r w:rsidRPr="00AD192C">
              <w:rPr>
                <w:rFonts w:eastAsia="Dialog"/>
                <w:lang w:val="fr-CA"/>
              </w:rPr>
              <w:t xml:space="preserve">associés à la vie sociale, à l’éthique, à l’économie </w:t>
            </w:r>
            <w:r w:rsidRPr="00AD192C">
              <w:rPr>
                <w:rFonts w:eastAsia="Dialog"/>
                <w:lang w:val="fr-CA"/>
              </w:rPr>
              <w:br/>
              <w:t>et à la durabilité sur le choix des aliments et leur préparation</w:t>
            </w:r>
          </w:p>
          <w:p w14:paraId="748D580F" w14:textId="77777777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 xml:space="preserve">Choisir une idée à développer en s’appuyant sur des </w:t>
            </w:r>
            <w:r w:rsidRPr="00AD192C">
              <w:rPr>
                <w:rFonts w:eastAsia="Arial"/>
                <w:b/>
                <w:lang w:val="fr-CA"/>
              </w:rPr>
              <w:t>sources d’inspiration</w:t>
            </w:r>
            <w:r w:rsidRPr="00AD192C">
              <w:rPr>
                <w:rFonts w:eastAsia="Arial"/>
                <w:lang w:val="fr-CA"/>
              </w:rPr>
              <w:t xml:space="preserve"> et d’</w:t>
            </w:r>
            <w:r w:rsidRPr="00AD192C">
              <w:rPr>
                <w:rFonts w:eastAsia="Arial"/>
                <w:b/>
                <w:lang w:val="fr-CA"/>
              </w:rPr>
              <w:t>information</w:t>
            </w:r>
          </w:p>
          <w:p w14:paraId="48E42DA7" w14:textId="6D78351A" w:rsidR="005D26DB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lang w:val="fr-CA"/>
              </w:rPr>
              <w:t>Demeurer ouvert à d’autres idées potentiellement viables</w:t>
            </w:r>
          </w:p>
          <w:p w14:paraId="74B8341C" w14:textId="14D4BECC" w:rsidR="005D26DB" w:rsidRPr="00AD192C" w:rsidRDefault="007B4D81" w:rsidP="007B4D81">
            <w:pPr>
              <w:pStyle w:val="TopicSubItalics"/>
              <w:spacing w:before="80" w:after="2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Assembler un prototype</w:t>
            </w:r>
          </w:p>
          <w:p w14:paraId="1D47CE6B" w14:textId="77777777" w:rsidR="007B4D81" w:rsidRPr="00AD192C" w:rsidRDefault="007B4D81" w:rsidP="007B4D81">
            <w:pPr>
              <w:pStyle w:val="ListParagraph"/>
              <w:spacing w:after="40"/>
              <w:rPr>
                <w:spacing w:val="-2"/>
                <w:lang w:val="fr-CA"/>
              </w:rPr>
            </w:pPr>
            <w:r w:rsidRPr="00AD192C">
              <w:rPr>
                <w:rFonts w:eastAsia="Arial"/>
                <w:spacing w:val="-2"/>
                <w:lang w:val="fr-CA"/>
              </w:rPr>
              <w:t>Choisir et combiner la forme, l’échelle et le degré de précision adéquats pour l’élaboration des prototypes</w:t>
            </w:r>
          </w:p>
          <w:p w14:paraId="66C69DE2" w14:textId="78230194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rFonts w:eastAsia="Arial"/>
                <w:lang w:val="fr-CA"/>
              </w:rPr>
              <w:t xml:space="preserve">Expérimenter en se servant d’une gamme d’outils, d’ingrédients et de méthodes pour créer et améliorer </w:t>
            </w:r>
            <w:r w:rsidRPr="00AD192C">
              <w:rPr>
                <w:rFonts w:eastAsia="Arial"/>
                <w:lang w:val="fr-CA"/>
              </w:rPr>
              <w:br/>
              <w:t>des produits alimentaires</w:t>
            </w:r>
          </w:p>
          <w:p w14:paraId="6CA3DE16" w14:textId="6B964600" w:rsidR="007B4D81" w:rsidRPr="00AD192C" w:rsidRDefault="007B4D81" w:rsidP="007B4D81">
            <w:pPr>
              <w:pStyle w:val="ListParagraph"/>
              <w:spacing w:after="40"/>
              <w:rPr>
                <w:lang w:val="fr-CA"/>
              </w:rPr>
            </w:pPr>
            <w:r w:rsidRPr="00AD192C">
              <w:rPr>
                <w:lang w:val="fr-CA"/>
              </w:rPr>
              <w:t xml:space="preserve">Comparer, choisir et employer des </w:t>
            </w:r>
            <w:r w:rsidRPr="00AD192C">
              <w:rPr>
                <w:b/>
                <w:lang w:val="fr-CA"/>
              </w:rPr>
              <w:t>techniques qui facilitent</w:t>
            </w:r>
            <w:r w:rsidRPr="00AD192C">
              <w:rPr>
                <w:lang w:val="fr-CA"/>
              </w:rPr>
              <w:t xml:space="preserve"> l’exécution des tâches ou des méthodes </w:t>
            </w:r>
            <w:r w:rsidR="00AE5E3E" w:rsidRPr="00AD192C">
              <w:rPr>
                <w:lang w:val="fr-CA"/>
              </w:rPr>
              <w:br/>
            </w:r>
            <w:r w:rsidRPr="00AD192C">
              <w:rPr>
                <w:lang w:val="fr-CA"/>
              </w:rPr>
              <w:t>de préparation</w:t>
            </w:r>
          </w:p>
          <w:p w14:paraId="61D86295" w14:textId="658BDCEA" w:rsidR="001E4682" w:rsidRPr="00AD192C" w:rsidRDefault="007B4D81" w:rsidP="007B4D81">
            <w:pPr>
              <w:pStyle w:val="ListParagraph"/>
              <w:rPr>
                <w:spacing w:val="-4"/>
                <w:lang w:val="fr-CA"/>
              </w:rPr>
            </w:pPr>
            <w:r w:rsidRPr="00AD192C">
              <w:rPr>
                <w:spacing w:val="-4"/>
                <w:lang w:val="fr-CA"/>
              </w:rPr>
              <w:t>Évaluer l’efficacité et la biodégradabilité de divers matériaux, ainsi que leur potentiel de réutilisation et de recyclage</w:t>
            </w:r>
          </w:p>
        </w:tc>
        <w:tc>
          <w:tcPr>
            <w:tcW w:w="1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71C14FA" w:rsidR="00E87A9D" w:rsidRPr="00AD192C" w:rsidRDefault="007B4D81" w:rsidP="007B4D81">
            <w:pPr>
              <w:spacing w:before="120" w:after="120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  <w:lang w:val="fr-CA"/>
              </w:rPr>
            </w:pPr>
            <w:r w:rsidRPr="00AD192C">
              <w:rPr>
                <w:rFonts w:ascii="Helvetica" w:hAnsi="Helvetica"/>
                <w:i/>
                <w:sz w:val="20"/>
                <w:szCs w:val="20"/>
                <w:lang w:val="fr-CA"/>
              </w:rPr>
              <w:t>L’élève connaîtra :</w:t>
            </w:r>
          </w:p>
          <w:p w14:paraId="6F897EB8" w14:textId="2170A6DA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Occasions de concevoir </w:t>
            </w:r>
            <w:r w:rsidRPr="00AD192C">
              <w:rPr>
                <w:lang w:val="fr-CA"/>
              </w:rPr>
              <w:br/>
              <w:t>des repas</w:t>
            </w:r>
            <w:r w:rsidRPr="00AD192C">
              <w:rPr>
                <w:color w:val="000000"/>
                <w:lang w:val="fr-CA"/>
              </w:rPr>
              <w:t xml:space="preserve"> </w:t>
            </w:r>
          </w:p>
          <w:p w14:paraId="08CF5933" w14:textId="79BDC638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Éléments de la préparation des repas, y compris des notions de </w:t>
            </w:r>
            <w:r w:rsidRPr="00AD192C">
              <w:rPr>
                <w:b/>
                <w:lang w:val="fr-CA"/>
              </w:rPr>
              <w:t xml:space="preserve">planification </w:t>
            </w:r>
            <w:r w:rsidRPr="00AD192C">
              <w:rPr>
                <w:b/>
                <w:lang w:val="fr-CA"/>
              </w:rPr>
              <w:br/>
              <w:t xml:space="preserve">de repas </w:t>
            </w:r>
            <w:r w:rsidRPr="00AD192C">
              <w:rPr>
                <w:lang w:val="fr-CA"/>
              </w:rPr>
              <w:t xml:space="preserve">et de </w:t>
            </w:r>
            <w:r w:rsidRPr="00AD192C">
              <w:rPr>
                <w:b/>
                <w:lang w:val="fr-CA"/>
              </w:rPr>
              <w:t>pratiques d’alimentation</w:t>
            </w:r>
          </w:p>
          <w:p w14:paraId="159DB2DA" w14:textId="006A480F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Causes et conséquences </w:t>
            </w:r>
            <w:r w:rsidRPr="00AD192C">
              <w:rPr>
                <w:lang w:val="fr-CA"/>
              </w:rPr>
              <w:br/>
              <w:t>des éclosions de contamination alimentaire</w:t>
            </w:r>
          </w:p>
          <w:p w14:paraId="5DE306F2" w14:textId="22ACD15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Protocoles</w:t>
            </w:r>
            <w:r w:rsidRPr="00AD192C">
              <w:rPr>
                <w:lang w:val="fr-CA"/>
              </w:rPr>
              <w:t xml:space="preserve"> des peuples autochtones en matière d’alimentation, y compris </w:t>
            </w:r>
            <w:r w:rsidRPr="00AD192C">
              <w:rPr>
                <w:lang w:val="fr-CA"/>
              </w:rPr>
              <w:br/>
              <w:t xml:space="preserve">en ce qui concerne l’intendance des terres, </w:t>
            </w:r>
            <w:r w:rsidRPr="00AD192C">
              <w:rPr>
                <w:lang w:val="fr-CA"/>
              </w:rPr>
              <w:br/>
              <w:t xml:space="preserve">la récolte et la cueillette, </w:t>
            </w:r>
            <w:r w:rsidRPr="00AD192C">
              <w:rPr>
                <w:lang w:val="fr-CA"/>
              </w:rPr>
              <w:br/>
              <w:t>la préparation et la conservation de la nourriture, les célébrations et la propriété culturelle</w:t>
            </w:r>
          </w:p>
          <w:p w14:paraId="03C90176" w14:textId="33A27D34" w:rsidR="00F82197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>Considérations éthiques concernant l’</w:t>
            </w:r>
            <w:r w:rsidRPr="00AD192C">
              <w:rPr>
                <w:b/>
                <w:lang w:val="fr-CA"/>
              </w:rPr>
              <w:t>appropriation culturelle</w:t>
            </w:r>
          </w:p>
        </w:tc>
      </w:tr>
    </w:tbl>
    <w:p w14:paraId="4419F9AA" w14:textId="7B7FA97E" w:rsidR="0018557D" w:rsidRPr="00AD192C" w:rsidRDefault="0018557D" w:rsidP="007B4D81">
      <w:pPr>
        <w:pBdr>
          <w:bottom w:val="single" w:sz="4" w:space="4" w:color="auto"/>
        </w:pBdr>
        <w:tabs>
          <w:tab w:val="right" w:pos="14232"/>
        </w:tabs>
        <w:ind w:left="1440" w:right="-112"/>
        <w:rPr>
          <w:b/>
          <w:sz w:val="28"/>
          <w:lang w:val="fr-CA"/>
        </w:rPr>
      </w:pPr>
      <w:r w:rsidRPr="00AD192C">
        <w:rPr>
          <w:lang w:val="fr-CA"/>
        </w:rPr>
        <w:br w:type="page"/>
      </w:r>
      <w:r w:rsidRPr="00AD192C">
        <w:rPr>
          <w:b/>
          <w:noProof/>
          <w:szCs w:val="20"/>
          <w:lang w:val="fr-CA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1347A444">
            <wp:simplePos x="0" y="0"/>
            <wp:positionH relativeFrom="page">
              <wp:posOffset>533400</wp:posOffset>
            </wp:positionH>
            <wp:positionV relativeFrom="page">
              <wp:posOffset>376288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D81" w:rsidRPr="00AD192C">
        <w:rPr>
          <w:b/>
          <w:sz w:val="28"/>
          <w:lang w:val="fr-CA"/>
        </w:rPr>
        <w:t xml:space="preserve">Domaine d’apprentissage : </w:t>
      </w:r>
      <w:r w:rsidR="00AE5E3E" w:rsidRPr="00AD192C">
        <w:rPr>
          <w:b/>
          <w:sz w:val="28"/>
          <w:lang w:val="fr-CA"/>
        </w:rPr>
        <w:br/>
      </w:r>
      <w:r w:rsidR="007B4D81" w:rsidRPr="00AD192C">
        <w:rPr>
          <w:b/>
          <w:sz w:val="28"/>
          <w:lang w:val="fr-CA"/>
        </w:rPr>
        <w:t>CONCEPTION</w:t>
      </w:r>
      <w:r w:rsidR="007B4D81" w:rsidRPr="00AD192C">
        <w:rPr>
          <w:b/>
          <w:caps/>
          <w:sz w:val="28"/>
          <w:lang w:val="fr-CA"/>
        </w:rPr>
        <w:t>, COMPÉTENCES PRATIQUES ET TECHNOLOGIES</w:t>
      </w:r>
      <w:r w:rsidR="007B4D81" w:rsidRPr="00AD192C">
        <w:rPr>
          <w:b/>
          <w:sz w:val="28"/>
          <w:lang w:val="fr-CA"/>
        </w:rPr>
        <w:t xml:space="preserve"> — Étude des aliments</w:t>
      </w:r>
      <w:r w:rsidR="007B4D81" w:rsidRPr="00AD192C">
        <w:rPr>
          <w:b/>
          <w:sz w:val="28"/>
          <w:lang w:val="fr-CA"/>
        </w:rPr>
        <w:tab/>
        <w:t>10</w:t>
      </w:r>
      <w:r w:rsidR="007B4D81" w:rsidRPr="00AD192C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="007B4D81" w:rsidRPr="00AD192C">
        <w:rPr>
          <w:b/>
          <w:sz w:val="28"/>
          <w:lang w:val="fr-CA"/>
        </w:rPr>
        <w:t xml:space="preserve"> année</w:t>
      </w:r>
    </w:p>
    <w:p w14:paraId="338BD436" w14:textId="0E9C7495" w:rsidR="0018557D" w:rsidRPr="00AD192C" w:rsidRDefault="0018557D" w:rsidP="007B4D81">
      <w:pPr>
        <w:rPr>
          <w:rFonts w:ascii="Arial" w:hAnsi="Arial"/>
          <w:b/>
          <w:lang w:val="fr-CA"/>
        </w:rPr>
      </w:pPr>
    </w:p>
    <w:p w14:paraId="1658F336" w14:textId="766C33DE" w:rsidR="0018557D" w:rsidRPr="00AD192C" w:rsidRDefault="007B4D81" w:rsidP="007B4D81">
      <w:pPr>
        <w:spacing w:after="160"/>
        <w:jc w:val="center"/>
        <w:outlineLvl w:val="0"/>
        <w:rPr>
          <w:sz w:val="28"/>
          <w:lang w:val="fr-CA"/>
        </w:rPr>
      </w:pPr>
      <w:r w:rsidRPr="00AD192C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9"/>
        <w:gridCol w:w="3455"/>
      </w:tblGrid>
      <w:tr w:rsidR="007B4D81" w:rsidRPr="00AD192C" w14:paraId="2E2B08E1" w14:textId="77777777" w:rsidTr="007B4D81">
        <w:tc>
          <w:tcPr>
            <w:tcW w:w="3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F0C6A8" w:rsidR="0018557D" w:rsidRPr="00AD192C" w:rsidRDefault="007B4D81" w:rsidP="007B4D81">
            <w:pPr>
              <w:spacing w:before="60" w:after="60"/>
              <w:rPr>
                <w:b/>
                <w:szCs w:val="22"/>
                <w:lang w:val="fr-CA"/>
              </w:rPr>
            </w:pPr>
            <w:r w:rsidRPr="00AD192C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3E9BCAD0" w:rsidR="0018557D" w:rsidRPr="00AD192C" w:rsidRDefault="007B4D81" w:rsidP="007B4D81">
            <w:pPr>
              <w:spacing w:before="60" w:after="60"/>
              <w:rPr>
                <w:b/>
                <w:color w:val="FFFFFF"/>
                <w:szCs w:val="22"/>
                <w:lang w:val="fr-CA"/>
              </w:rPr>
            </w:pPr>
            <w:r w:rsidRPr="00AD192C">
              <w:rPr>
                <w:b/>
                <w:color w:val="FFFFFF"/>
                <w:szCs w:val="22"/>
                <w:lang w:val="fr-CA"/>
              </w:rPr>
              <w:t>Contenu</w:t>
            </w:r>
          </w:p>
        </w:tc>
      </w:tr>
      <w:tr w:rsidR="007B4D81" w:rsidRPr="00AD192C" w14:paraId="522264D9" w14:textId="77777777" w:rsidTr="007B4D81">
        <w:trPr>
          <w:trHeight w:val="484"/>
        </w:trPr>
        <w:tc>
          <w:tcPr>
            <w:tcW w:w="37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52AC1B" w14:textId="3D652B7F" w:rsidR="00FA7ED4" w:rsidRPr="00AD192C" w:rsidRDefault="007B4D81" w:rsidP="007B4D81">
            <w:pPr>
              <w:pStyle w:val="TopicSubItalics"/>
              <w:spacing w:before="100" w:after="4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Mettre à l’essai</w:t>
            </w:r>
          </w:p>
          <w:p w14:paraId="46E3E6EF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Déterminer les </w:t>
            </w:r>
            <w:r w:rsidRPr="00AD192C">
              <w:rPr>
                <w:b/>
                <w:lang w:val="fr-CA"/>
              </w:rPr>
              <w:t>sources de rétroaction</w:t>
            </w:r>
            <w:r w:rsidRPr="00AD192C">
              <w:rPr>
                <w:color w:val="000000"/>
                <w:lang w:val="fr-CA"/>
              </w:rPr>
              <w:t xml:space="preserve"> </w:t>
            </w:r>
          </w:p>
          <w:p w14:paraId="301F4AF2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Concevoir des </w:t>
            </w:r>
            <w:r w:rsidRPr="00AD192C">
              <w:rPr>
                <w:b/>
                <w:lang w:val="fr-CA"/>
              </w:rPr>
              <w:t xml:space="preserve">procédures d’essai adéquates </w:t>
            </w:r>
            <w:r w:rsidRPr="00AD192C">
              <w:rPr>
                <w:lang w:val="fr-CA"/>
              </w:rPr>
              <w:t>pour le prototype</w:t>
            </w:r>
          </w:p>
          <w:p w14:paraId="1768AB86" w14:textId="3B8B03E0" w:rsidR="00FA7ED4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>S’appuyer sur la rétroaction pour effectuer les changements adéquats</w:t>
            </w:r>
          </w:p>
          <w:p w14:paraId="2588E522" w14:textId="14125EFA" w:rsidR="00FA7ED4" w:rsidRPr="00AD192C" w:rsidRDefault="007B4D81" w:rsidP="007B4D81">
            <w:pPr>
              <w:pStyle w:val="TopicSubItalics"/>
              <w:spacing w:before="100" w:after="4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Réaliser</w:t>
            </w:r>
          </w:p>
          <w:p w14:paraId="4F2918F8" w14:textId="77777777" w:rsidR="007B4D81" w:rsidRPr="00AD192C" w:rsidRDefault="007B4D81" w:rsidP="007B4D81">
            <w:pPr>
              <w:pStyle w:val="ListParagraph"/>
              <w:rPr>
                <w:color w:val="000000"/>
                <w:lang w:val="fr-CA"/>
              </w:rPr>
            </w:pPr>
            <w:r w:rsidRPr="00AD192C">
              <w:rPr>
                <w:lang w:val="fr-CA"/>
              </w:rPr>
              <w:t>Établir un plan de production par étapes</w:t>
            </w:r>
          </w:p>
          <w:p w14:paraId="76AFD21C" w14:textId="77777777" w:rsidR="007B4D81" w:rsidRPr="00AD192C" w:rsidRDefault="007B4D81" w:rsidP="007B4D81">
            <w:pPr>
              <w:pStyle w:val="ListParagraph"/>
              <w:rPr>
                <w:color w:val="000000"/>
                <w:lang w:val="fr-CA"/>
              </w:rPr>
            </w:pPr>
            <w:r w:rsidRPr="00AD192C">
              <w:rPr>
                <w:lang w:val="fr-CA"/>
              </w:rPr>
              <w:t>Créer des produits alimentaires, en travaillant seul ou en équipe, et faire des changements au besoin</w:t>
            </w:r>
          </w:p>
          <w:p w14:paraId="521C6B37" w14:textId="77777777" w:rsidR="007B4D81" w:rsidRPr="00AD192C" w:rsidRDefault="007B4D81" w:rsidP="007B4D81">
            <w:pPr>
              <w:pStyle w:val="ListParagraph"/>
              <w:rPr>
                <w:color w:val="000000"/>
                <w:lang w:val="fr-CA"/>
              </w:rPr>
            </w:pPr>
            <w:r w:rsidRPr="00AD192C">
              <w:rPr>
                <w:lang w:val="fr-CA"/>
              </w:rPr>
              <w:t>Utiliser les matériaux de façon à réduire le gaspillage</w:t>
            </w:r>
          </w:p>
          <w:p w14:paraId="60236777" w14:textId="2749FE50" w:rsidR="00FA7ED4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Prévoir et utiliser les outils, les </w:t>
            </w:r>
            <w:r w:rsidRPr="00AD192C">
              <w:rPr>
                <w:b/>
                <w:lang w:val="fr-CA"/>
              </w:rPr>
              <w:t>technologies</w:t>
            </w:r>
            <w:r w:rsidRPr="00AD192C">
              <w:rPr>
                <w:lang w:val="fr-CA"/>
              </w:rPr>
              <w:t>, les matériaux et les méthodes nécessaires à la production</w:t>
            </w:r>
          </w:p>
          <w:p w14:paraId="4945266F" w14:textId="3CEACFC9" w:rsidR="00FA7ED4" w:rsidRPr="00AD192C" w:rsidRDefault="007B4D81" w:rsidP="007B4D81">
            <w:pPr>
              <w:pStyle w:val="TopicSubItalics"/>
              <w:spacing w:before="100" w:after="40"/>
              <w:contextualSpacing w:val="0"/>
              <w:rPr>
                <w:lang w:val="fr-CA"/>
              </w:rPr>
            </w:pPr>
            <w:r w:rsidRPr="00AD192C">
              <w:rPr>
                <w:lang w:val="fr-CA"/>
              </w:rPr>
              <w:t>Présenter</w:t>
            </w:r>
          </w:p>
          <w:p w14:paraId="2E88CCD7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Déterminer comment et à qui </w:t>
            </w:r>
            <w:r w:rsidRPr="00AD192C">
              <w:rPr>
                <w:b/>
                <w:lang w:val="fr-CA"/>
              </w:rPr>
              <w:t>présenter</w:t>
            </w:r>
            <w:r w:rsidRPr="00AD192C">
              <w:rPr>
                <w:lang w:val="fr-CA"/>
              </w:rPr>
              <w:t xml:space="preserve"> ses produits alimentaires </w:t>
            </w:r>
          </w:p>
          <w:p w14:paraId="51272E3E" w14:textId="5AE7CBAF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Évaluer de manière critique le degré de réussite des repas et expliquer en quoi les concepts culinaires </w:t>
            </w:r>
            <w:r w:rsidRPr="00AD192C">
              <w:rPr>
                <w:lang w:val="fr-CA"/>
              </w:rPr>
              <w:br/>
              <w:t>profitent au particulier, à la famille, à la communauté ou à l’environnement</w:t>
            </w:r>
          </w:p>
          <w:p w14:paraId="35EA7F8F" w14:textId="6725EE11" w:rsidR="00FA7ED4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>Évaluer sa capacité à travailler efficacement seul et en groupe</w:t>
            </w:r>
          </w:p>
          <w:p w14:paraId="002C6506" w14:textId="1B4CBF8D" w:rsidR="00FA7ED4" w:rsidRPr="00AD192C" w:rsidRDefault="007B4D81" w:rsidP="007B4D81">
            <w:pPr>
              <w:pStyle w:val="Topic"/>
              <w:contextualSpacing w:val="0"/>
              <w:rPr>
                <w:lang w:val="fr-CA"/>
              </w:rPr>
            </w:pPr>
            <w:r w:rsidRPr="00AD192C">
              <w:rPr>
                <w:color w:val="000000"/>
                <w:szCs w:val="20"/>
                <w:lang w:val="fr-CA"/>
              </w:rPr>
              <w:t>Compétences pratiques</w:t>
            </w:r>
          </w:p>
          <w:p w14:paraId="251A1634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Connaître les précautions à prendre et les </w:t>
            </w:r>
            <w:r w:rsidRPr="00AD192C">
              <w:rPr>
                <w:b/>
                <w:lang w:val="fr-CA"/>
              </w:rPr>
              <w:t>procédures de sécurité</w:t>
            </w:r>
            <w:r w:rsidRPr="00AD192C">
              <w:rPr>
                <w:lang w:val="fr-CA"/>
              </w:rPr>
              <w:t xml:space="preserve"> d’urgence établies pour sa propre protection et celle des autres</w:t>
            </w:r>
          </w:p>
          <w:p w14:paraId="74D297BF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>Déterminer ses propres compétences et en évaluer le niveau</w:t>
            </w:r>
          </w:p>
          <w:p w14:paraId="09031053" w14:textId="4E14668C" w:rsidR="00FA7ED4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>Élaborer des plans précis pour développer des compétences existantes ou en acquérir de nouvelles</w:t>
            </w:r>
          </w:p>
          <w:p w14:paraId="5595E35E" w14:textId="31C4E66A" w:rsidR="00FA7ED4" w:rsidRPr="00AD192C" w:rsidRDefault="007B4D81" w:rsidP="007B4D81">
            <w:pPr>
              <w:pStyle w:val="Topic"/>
              <w:contextualSpacing w:val="0"/>
              <w:rPr>
                <w:lang w:val="fr-CA"/>
              </w:rPr>
            </w:pPr>
            <w:r w:rsidRPr="00AD192C">
              <w:rPr>
                <w:color w:val="000000"/>
                <w:szCs w:val="20"/>
                <w:lang w:val="fr-CA"/>
              </w:rPr>
              <w:t>Technologies</w:t>
            </w:r>
          </w:p>
          <w:p w14:paraId="74B7C2B2" w14:textId="449864AE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Choisir et adapter, en se renseignant au besoin, les outils et les technologies à utiliser dans l’exécution </w:t>
            </w:r>
            <w:r w:rsidRPr="00AD192C">
              <w:rPr>
                <w:lang w:val="fr-CA"/>
              </w:rPr>
              <w:br/>
              <w:t>de tâches liées à la préparation de la nourriture</w:t>
            </w:r>
          </w:p>
          <w:p w14:paraId="48B50EE4" w14:textId="4C16E8E3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Évaluer les </w:t>
            </w:r>
            <w:r w:rsidRPr="00AD192C">
              <w:rPr>
                <w:b/>
                <w:lang w:val="fr-CA"/>
              </w:rPr>
              <w:t>conséquences</w:t>
            </w:r>
            <w:r w:rsidRPr="00AD192C">
              <w:rPr>
                <w:lang w:val="fr-CA"/>
              </w:rPr>
              <w:t xml:space="preserve">, y compris les conséquences négatives imprévues, de ses choix en matière </w:t>
            </w:r>
            <w:r w:rsidRPr="00AD192C">
              <w:rPr>
                <w:lang w:val="fr-CA"/>
              </w:rPr>
              <w:br/>
              <w:t>de technologie</w:t>
            </w:r>
          </w:p>
          <w:p w14:paraId="287E313D" w14:textId="255B3C2F" w:rsidR="00707ADF" w:rsidRPr="00AD192C" w:rsidRDefault="007B4D81" w:rsidP="007B4D81">
            <w:pPr>
              <w:pStyle w:val="ListParagraph"/>
              <w:spacing w:after="120"/>
              <w:rPr>
                <w:lang w:val="fr-CA"/>
              </w:rPr>
            </w:pPr>
            <w:r w:rsidRPr="00AD192C">
              <w:rPr>
                <w:lang w:val="fr-CA"/>
              </w:rPr>
              <w:t xml:space="preserve">Évaluer la façon dont le territoire, les ressources naturelles et la culture influent sur le développement </w:t>
            </w:r>
            <w:r w:rsidRPr="00AD192C">
              <w:rPr>
                <w:lang w:val="fr-CA"/>
              </w:rPr>
              <w:br/>
              <w:t>et l’usage des outils et de la technologie</w:t>
            </w:r>
          </w:p>
        </w:tc>
        <w:tc>
          <w:tcPr>
            <w:tcW w:w="12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320F8E" w14:textId="77777777" w:rsidR="007B4D81" w:rsidRPr="00AD192C" w:rsidRDefault="007B4D81" w:rsidP="007B4D81">
            <w:pPr>
              <w:pStyle w:val="ListParagraph"/>
              <w:spacing w:before="120"/>
              <w:rPr>
                <w:lang w:val="fr-CA"/>
              </w:rPr>
            </w:pPr>
            <w:r w:rsidRPr="00AD192C">
              <w:rPr>
                <w:lang w:val="fr-CA"/>
              </w:rPr>
              <w:t xml:space="preserve">Liens entre les pratiques alimentaires et le bien-être mental et physique </w:t>
            </w:r>
          </w:p>
          <w:p w14:paraId="0ECEBE5C" w14:textId="097DEF4D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Tendances en alimentation, </w:t>
            </w:r>
            <w:r w:rsidRPr="00AD192C">
              <w:rPr>
                <w:lang w:val="fr-CA"/>
              </w:rPr>
              <w:br/>
              <w:t xml:space="preserve">y compris en ce qui concerne la nutrition, le marketing et les </w:t>
            </w:r>
            <w:r w:rsidRPr="00AD192C">
              <w:rPr>
                <w:b/>
                <w:lang w:val="fr-CA"/>
              </w:rPr>
              <w:t>systèmes alimentaires</w:t>
            </w:r>
          </w:p>
          <w:p w14:paraId="28E41C67" w14:textId="3F521C5D" w:rsidR="0018557D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lang w:val="fr-CA"/>
              </w:rPr>
              <w:t xml:space="preserve">Les systèmes alimentaires mondiaux simples et complexes, leur influence </w:t>
            </w:r>
            <w:r w:rsidRPr="00AD192C">
              <w:rPr>
                <w:lang w:val="fr-CA"/>
              </w:rPr>
              <w:br/>
              <w:t>sur les choix alimentaires, leurs répercussions environnementales, éthiques et économiques et leur incidence sur la santé</w:t>
            </w:r>
          </w:p>
        </w:tc>
      </w:tr>
    </w:tbl>
    <w:p w14:paraId="00D0849C" w14:textId="77777777" w:rsidR="0086683B" w:rsidRPr="00AD192C" w:rsidRDefault="0086683B" w:rsidP="007B4D81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F9586F" w:rsidRPr="00AD192C" w14:paraId="0096867B" w14:textId="77777777" w:rsidTr="0018557D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762B9240" w14:textId="0C265F1C" w:rsidR="00F9586F" w:rsidRPr="00AD192C" w:rsidRDefault="0059376F" w:rsidP="007B4D81">
            <w:pPr>
              <w:pageBreakBefore/>
              <w:tabs>
                <w:tab w:val="right" w:pos="14000"/>
              </w:tabs>
              <w:spacing w:before="60" w:after="60"/>
              <w:rPr>
                <w:b/>
                <w:lang w:val="fr-CA"/>
              </w:rPr>
            </w:pPr>
            <w:r w:rsidRPr="00AD192C">
              <w:rPr>
                <w:b/>
                <w:lang w:val="fr-CA"/>
              </w:rPr>
              <w:lastRenderedPageBreak/>
              <w:tab/>
            </w:r>
            <w:r w:rsidR="007B4D81" w:rsidRPr="00AD192C">
              <w:rPr>
                <w:b/>
                <w:color w:val="FFFFFF" w:themeColor="background1"/>
                <w:lang w:val="fr-CA"/>
              </w:rPr>
              <w:t>CONCEPTION, COMPÉTENCES PRATIQUES ET TECHNOLOGIES</w:t>
            </w:r>
            <w:r w:rsidR="007B4D81" w:rsidRPr="00AD192C">
              <w:rPr>
                <w:b/>
                <w:color w:val="FFFFFF" w:themeColor="background1"/>
                <w:szCs w:val="22"/>
                <w:lang w:val="fr-CA"/>
              </w:rPr>
              <w:t xml:space="preserve"> – Étude des aliments</w:t>
            </w:r>
            <w:r w:rsidR="007B4D81" w:rsidRPr="00AD192C">
              <w:rPr>
                <w:b/>
                <w:lang w:val="fr-CA"/>
              </w:rPr>
              <w:br/>
              <w:t>Compétences disciplinaires – Approfondissements</w:t>
            </w:r>
            <w:r w:rsidR="007B4D81" w:rsidRPr="00AD192C">
              <w:rPr>
                <w:b/>
                <w:lang w:val="fr-CA"/>
              </w:rPr>
              <w:tab/>
            </w:r>
            <w:r w:rsidR="007B4D81" w:rsidRPr="00AD192C">
              <w:rPr>
                <w:b/>
                <w:szCs w:val="22"/>
                <w:lang w:val="fr-CA"/>
              </w:rPr>
              <w:t>10</w:t>
            </w:r>
            <w:r w:rsidR="007B4D81" w:rsidRPr="00AD192C">
              <w:rPr>
                <w:rFonts w:ascii="Times New Roman Bold" w:hAnsi="Times New Roman Bold"/>
                <w:b/>
                <w:position w:val="6"/>
                <w:sz w:val="18"/>
                <w:szCs w:val="22"/>
                <w:lang w:val="fr-CA"/>
              </w:rPr>
              <w:t>e</w:t>
            </w:r>
            <w:r w:rsidR="007B4D81" w:rsidRPr="00AD192C">
              <w:rPr>
                <w:b/>
                <w:szCs w:val="22"/>
                <w:lang w:val="fr-CA"/>
              </w:rPr>
              <w:t xml:space="preserve"> année</w:t>
            </w:r>
          </w:p>
        </w:tc>
      </w:tr>
      <w:tr w:rsidR="00770B0C" w:rsidRPr="00AD192C" w14:paraId="7FE64FEB" w14:textId="77777777">
        <w:tc>
          <w:tcPr>
            <w:tcW w:w="5000" w:type="pct"/>
            <w:shd w:val="clear" w:color="auto" w:fill="F3F3F3"/>
          </w:tcPr>
          <w:p w14:paraId="21A84A13" w14:textId="77777777" w:rsidR="007B4D81" w:rsidRPr="00AD192C" w:rsidRDefault="007B4D81" w:rsidP="007B4D81">
            <w:pPr>
              <w:pStyle w:val="ListParagraph"/>
              <w:spacing w:before="120"/>
              <w:rPr>
                <w:lang w:val="fr-CA"/>
              </w:rPr>
            </w:pPr>
            <w:r w:rsidRPr="00AD192C">
              <w:rPr>
                <w:b/>
                <w:lang w:val="fr-CA"/>
              </w:rPr>
              <w:t xml:space="preserve">consommateurs : </w:t>
            </w:r>
            <w:r w:rsidRPr="00AD192C">
              <w:rPr>
                <w:lang w:val="fr-CA"/>
              </w:rPr>
              <w:t>les personnes ayant une interaction avec un produit alimentaire, p. ex. en tant que producteur, concepteur ou consommateur</w:t>
            </w:r>
          </w:p>
          <w:p w14:paraId="502E865B" w14:textId="550871FE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contrainte :</w:t>
            </w:r>
            <w:r w:rsidRPr="00AD192C">
              <w:rPr>
                <w:lang w:val="fr-CA"/>
              </w:rPr>
              <w:t xml:space="preserve"> notamment les technologies accessibles, les ressources, les coûts, les répercussions sur l’environnement, ainsi que les préférences </w:t>
            </w:r>
            <w:r w:rsidRPr="00AD192C">
              <w:rPr>
                <w:lang w:val="fr-CA"/>
              </w:rPr>
              <w:br/>
              <w:t xml:space="preserve">et les restrictions alimentaires </w:t>
            </w:r>
          </w:p>
          <w:p w14:paraId="23E52787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Prendre des risques :</w:t>
            </w:r>
            <w:r w:rsidRPr="00AD192C">
              <w:rPr>
                <w:lang w:val="fr-CA"/>
              </w:rPr>
              <w:t xml:space="preserve"> pensée créatrice, et application d’idées nouvelles et non conventionnelles </w:t>
            </w:r>
          </w:p>
          <w:p w14:paraId="292A310C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défis :</w:t>
            </w:r>
            <w:r w:rsidRPr="00AD192C">
              <w:rPr>
                <w:lang w:val="fr-CA"/>
              </w:rPr>
              <w:t xml:space="preserve"> notamment le temps, l’espace, l’économie, l’ensemble des compétences et les ressources</w:t>
            </w:r>
          </w:p>
          <w:p w14:paraId="52A86C61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sources d’inspiration</w:t>
            </w:r>
            <w:r w:rsidRPr="00AD192C">
              <w:rPr>
                <w:lang w:val="fr-CA"/>
              </w:rPr>
              <w:t> </w:t>
            </w:r>
            <w:r w:rsidRPr="00AD192C">
              <w:rPr>
                <w:b/>
                <w:lang w:val="fr-CA"/>
              </w:rPr>
              <w:t>:</w:t>
            </w:r>
            <w:r w:rsidRPr="00AD192C">
              <w:rPr>
                <w:lang w:val="fr-CA"/>
              </w:rPr>
              <w:t xml:space="preserve"> notamment des expériences personnelles, l’exploration des perspectives et du savoir de peuples autochtones, l’environnement naturel, des lieux, des influences culturelles et des gens, y compris des consommateurs et des professionnels</w:t>
            </w:r>
          </w:p>
          <w:p w14:paraId="2252A8F8" w14:textId="400A02BA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information</w:t>
            </w:r>
            <w:r w:rsidRPr="00AD192C">
              <w:rPr>
                <w:lang w:val="fr-CA"/>
              </w:rPr>
              <w:t> </w:t>
            </w:r>
            <w:r w:rsidRPr="00AD192C">
              <w:rPr>
                <w:b/>
                <w:lang w:val="fr-CA"/>
              </w:rPr>
              <w:t>:</w:t>
            </w:r>
            <w:r w:rsidRPr="00AD192C">
              <w:rPr>
                <w:lang w:val="fr-CA"/>
              </w:rPr>
              <w:t xml:space="preserve"> </w:t>
            </w:r>
            <w:r w:rsidRPr="00AD192C">
              <w:rPr>
                <w:rFonts w:eastAsia="Arial" w:cs="Arial"/>
                <w:lang w:val="fr-CA"/>
              </w:rPr>
              <w:t>information provenant p. ex.</w:t>
            </w:r>
            <w:r w:rsidRPr="00AD192C">
              <w:rPr>
                <w:lang w:val="fr-CA"/>
              </w:rPr>
              <w:t xml:space="preserve"> d’experts issus de communautés </w:t>
            </w:r>
            <w:proofErr w:type="spellStart"/>
            <w:r w:rsidRPr="00AD192C">
              <w:rPr>
                <w:lang w:val="fr-CA"/>
              </w:rPr>
              <w:t>inuites</w:t>
            </w:r>
            <w:proofErr w:type="spellEnd"/>
            <w:r w:rsidRPr="00AD192C">
              <w:rPr>
                <w:lang w:val="fr-CA"/>
              </w:rPr>
              <w:t xml:space="preserve">, métisses et des Premières Nations; de sources secondaires; </w:t>
            </w:r>
            <w:r w:rsidRPr="00AD192C">
              <w:rPr>
                <w:lang w:val="fr-CA"/>
              </w:rPr>
              <w:br/>
              <w:t>de fonds de connaissances collectifs communautaires, ou encore de la science et de la sécurité alimentaires</w:t>
            </w:r>
          </w:p>
          <w:p w14:paraId="582902DE" w14:textId="1409967E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techniques qui facilitent :</w:t>
            </w:r>
            <w:r w:rsidRPr="00AD192C">
              <w:rPr>
                <w:lang w:val="fr-CA"/>
              </w:rPr>
              <w:t xml:space="preserve"> p. ex. l’emploi de mesures approximatives plutôt que p</w:t>
            </w:r>
            <w:bookmarkStart w:id="0" w:name="_GoBack"/>
            <w:bookmarkEnd w:id="0"/>
            <w:r w:rsidRPr="00AD192C">
              <w:rPr>
                <w:lang w:val="fr-CA"/>
              </w:rPr>
              <w:t xml:space="preserve">récises lorsqu’il est plus avantageux de le faire, ou l’utilisation </w:t>
            </w:r>
            <w:r w:rsidRPr="00AD192C">
              <w:rPr>
                <w:lang w:val="fr-CA"/>
              </w:rPr>
              <w:br/>
              <w:t>d’un produit alimentaire préparé d’avance</w:t>
            </w:r>
          </w:p>
          <w:p w14:paraId="385FD125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sources de rétroaction</w:t>
            </w:r>
            <w:r w:rsidRPr="00AD192C">
              <w:rPr>
                <w:lang w:val="fr-CA"/>
              </w:rPr>
              <w:t> </w:t>
            </w:r>
            <w:r w:rsidRPr="00AD192C">
              <w:rPr>
                <w:b/>
                <w:lang w:val="fr-CA"/>
              </w:rPr>
              <w:t>:</w:t>
            </w:r>
            <w:r w:rsidRPr="00AD192C">
              <w:rPr>
                <w:lang w:val="fr-CA"/>
              </w:rPr>
              <w:t xml:space="preserve"> </w:t>
            </w:r>
            <w:r w:rsidRPr="00AD192C">
              <w:rPr>
                <w:rFonts w:eastAsia="Arial" w:cs="Arial"/>
                <w:lang w:val="fr-CA"/>
              </w:rPr>
              <w:t>rétroactions provenant p. ex.</w:t>
            </w:r>
            <w:r w:rsidRPr="00AD192C">
              <w:rPr>
                <w:lang w:val="fr-CA"/>
              </w:rPr>
              <w:t xml:space="preserve"> des experts issus de communautés </w:t>
            </w:r>
            <w:proofErr w:type="spellStart"/>
            <w:r w:rsidRPr="00AD192C">
              <w:rPr>
                <w:lang w:val="fr-CA"/>
              </w:rPr>
              <w:t>inuites</w:t>
            </w:r>
            <w:proofErr w:type="spellEnd"/>
            <w:r w:rsidRPr="00AD192C">
              <w:rPr>
                <w:lang w:val="fr-CA"/>
              </w:rPr>
              <w:t>, métisses et des Premières Nations, des gardiens d’autres démarches et connaissances culturelles traditionnelles, des pairs, des consommateurs et des professionnels</w:t>
            </w:r>
          </w:p>
          <w:p w14:paraId="4EE751C1" w14:textId="2D5D18B3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procédures d’essai adéquates :</w:t>
            </w:r>
            <w:r w:rsidRPr="00AD192C">
              <w:rPr>
                <w:lang w:val="fr-CA"/>
              </w:rPr>
              <w:t xml:space="preserve"> notamment la détermination des personnes et du moment adéquats pour les dégustations et les normes </w:t>
            </w:r>
            <w:r w:rsidRPr="00AD192C">
              <w:rPr>
                <w:lang w:val="fr-CA"/>
              </w:rPr>
              <w:br/>
              <w:t>qu’il convient d’appliquer aux produits</w:t>
            </w:r>
          </w:p>
          <w:p w14:paraId="1B3846BC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technologies :</w:t>
            </w:r>
            <w:r w:rsidRPr="00AD192C">
              <w:rPr>
                <w:lang w:val="fr-CA"/>
              </w:rPr>
              <w:t xml:space="preserve"> outils qui accroissent les capacités humaines</w:t>
            </w:r>
          </w:p>
          <w:p w14:paraId="58FE6A2B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présenter :</w:t>
            </w:r>
            <w:r w:rsidRPr="00AD192C">
              <w:rPr>
                <w:lang w:val="fr-CA"/>
              </w:rPr>
              <w:t xml:space="preserve"> notamment la dégustation par d’autres personnes ainsi que la cession, la commercialisation et la vente des produits</w:t>
            </w:r>
          </w:p>
          <w:p w14:paraId="333BE597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procédures de sécurité</w:t>
            </w:r>
            <w:r w:rsidRPr="00AD192C">
              <w:rPr>
                <w:lang w:val="fr-CA"/>
              </w:rPr>
              <w:t> </w:t>
            </w:r>
            <w:r w:rsidRPr="00AD192C">
              <w:rPr>
                <w:b/>
                <w:lang w:val="fr-CA"/>
              </w:rPr>
              <w:t>:</w:t>
            </w:r>
            <w:r w:rsidRPr="00AD192C">
              <w:rPr>
                <w:lang w:val="fr-CA"/>
              </w:rPr>
              <w:t xml:space="preserve"> notamment la salubrité des aliments, la santé et la </w:t>
            </w:r>
            <w:proofErr w:type="spellStart"/>
            <w:r w:rsidRPr="00AD192C">
              <w:rPr>
                <w:lang w:val="fr-CA"/>
              </w:rPr>
              <w:t>littératie</w:t>
            </w:r>
            <w:proofErr w:type="spellEnd"/>
            <w:r w:rsidRPr="00AD192C">
              <w:rPr>
                <w:lang w:val="fr-CA"/>
              </w:rPr>
              <w:t xml:space="preserve"> numérique</w:t>
            </w:r>
          </w:p>
          <w:p w14:paraId="376A30FE" w14:textId="1BE38FE6" w:rsidR="00770B0C" w:rsidRPr="00AD192C" w:rsidRDefault="007B4D81" w:rsidP="007B4D81">
            <w:pPr>
              <w:pStyle w:val="ListParagraph"/>
              <w:spacing w:after="120"/>
              <w:rPr>
                <w:lang w:val="fr-CA"/>
              </w:rPr>
            </w:pPr>
            <w:r w:rsidRPr="00AD192C">
              <w:rPr>
                <w:b/>
                <w:lang w:val="fr-CA"/>
              </w:rPr>
              <w:t>conséquences :</w:t>
            </w:r>
            <w:r w:rsidRPr="00AD192C">
              <w:rPr>
                <w:lang w:val="fr-CA"/>
              </w:rPr>
              <w:t xml:space="preserve"> personnelles, sociales ou environnementales</w:t>
            </w:r>
          </w:p>
        </w:tc>
      </w:tr>
    </w:tbl>
    <w:p w14:paraId="4194EDCC" w14:textId="77777777" w:rsidR="00F9586F" w:rsidRPr="00AD192C" w:rsidRDefault="00F9586F" w:rsidP="007B4D81">
      <w:pPr>
        <w:rPr>
          <w:lang w:val="fr-CA"/>
        </w:rPr>
      </w:pPr>
    </w:p>
    <w:p w14:paraId="42115AB4" w14:textId="77777777" w:rsidR="00F82197" w:rsidRPr="00AD192C" w:rsidRDefault="00F82197" w:rsidP="007B4D81">
      <w:pPr>
        <w:rPr>
          <w:lang w:val="fr-CA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AD192C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2BE85C36" w:rsidR="00F9586F" w:rsidRPr="00AD192C" w:rsidRDefault="0059376F" w:rsidP="007B4D81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  <w:lang w:val="fr-CA"/>
              </w:rPr>
            </w:pPr>
            <w:r w:rsidRPr="00AD192C">
              <w:rPr>
                <w:b/>
                <w:color w:val="FFFFFF" w:themeColor="background1"/>
                <w:lang w:val="fr-CA"/>
              </w:rPr>
              <w:tab/>
            </w:r>
            <w:r w:rsidR="007B4D81" w:rsidRPr="00AD192C">
              <w:rPr>
                <w:b/>
                <w:color w:val="FFFFFF" w:themeColor="background1"/>
                <w:lang w:val="fr-CA"/>
              </w:rPr>
              <w:t>CONCEPTION, COMPÉTENCES PRATIQUES ET TECHNOLOGIES</w:t>
            </w:r>
            <w:r w:rsidR="007B4D81" w:rsidRPr="00AD192C">
              <w:rPr>
                <w:b/>
                <w:color w:val="FFFFFF" w:themeColor="background1"/>
                <w:szCs w:val="22"/>
                <w:lang w:val="fr-CA"/>
              </w:rPr>
              <w:t xml:space="preserve"> – Étude des aliments</w:t>
            </w:r>
            <w:r w:rsidR="007B4D81" w:rsidRPr="00AD192C">
              <w:rPr>
                <w:b/>
                <w:color w:val="FFFFFF" w:themeColor="background1"/>
                <w:lang w:val="fr-CA"/>
              </w:rPr>
              <w:t xml:space="preserve"> </w:t>
            </w:r>
            <w:r w:rsidR="007B4D81" w:rsidRPr="00AD192C">
              <w:rPr>
                <w:b/>
                <w:color w:val="FFFFFF" w:themeColor="background1"/>
                <w:lang w:val="fr-CA"/>
              </w:rPr>
              <w:br/>
              <w:t>Contenu – Approfondissements</w:t>
            </w:r>
            <w:r w:rsidR="007B4D81" w:rsidRPr="00AD192C">
              <w:rPr>
                <w:b/>
                <w:color w:val="FFFFFF" w:themeColor="background1"/>
                <w:lang w:val="fr-CA"/>
              </w:rPr>
              <w:tab/>
            </w:r>
            <w:r w:rsidR="007B4D81" w:rsidRPr="00AD192C">
              <w:rPr>
                <w:b/>
                <w:color w:val="FFFFFF" w:themeColor="background1"/>
                <w:szCs w:val="22"/>
                <w:lang w:val="fr-CA"/>
              </w:rPr>
              <w:t>10</w:t>
            </w:r>
            <w:r w:rsidR="007B4D81" w:rsidRPr="00AD192C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  <w:szCs w:val="22"/>
                <w:lang w:val="fr-CA"/>
              </w:rPr>
              <w:t>e</w:t>
            </w:r>
            <w:r w:rsidR="007B4D81" w:rsidRPr="00AD192C">
              <w:rPr>
                <w:b/>
                <w:color w:val="FFFFFF" w:themeColor="background1"/>
                <w:szCs w:val="22"/>
                <w:lang w:val="fr-CA"/>
              </w:rPr>
              <w:t xml:space="preserve"> année</w:t>
            </w:r>
          </w:p>
        </w:tc>
      </w:tr>
      <w:tr w:rsidR="00F9586F" w:rsidRPr="00AD192C" w14:paraId="7A2216BF" w14:textId="77777777">
        <w:tc>
          <w:tcPr>
            <w:tcW w:w="5000" w:type="pct"/>
            <w:shd w:val="clear" w:color="auto" w:fill="F3F3F3"/>
          </w:tcPr>
          <w:p w14:paraId="4FB658C4" w14:textId="67894698" w:rsidR="007B4D81" w:rsidRPr="00AD192C" w:rsidRDefault="007B4D81" w:rsidP="007B4D81">
            <w:pPr>
              <w:pStyle w:val="ListParagraph"/>
              <w:spacing w:before="120"/>
              <w:rPr>
                <w:lang w:val="fr-CA"/>
              </w:rPr>
            </w:pPr>
            <w:r w:rsidRPr="00AD192C">
              <w:rPr>
                <w:b/>
                <w:lang w:val="fr-CA"/>
              </w:rPr>
              <w:t xml:space="preserve">planification de repas : </w:t>
            </w:r>
            <w:r w:rsidRPr="00AD192C">
              <w:rPr>
                <w:lang w:val="fr-CA"/>
              </w:rPr>
              <w:t xml:space="preserve">p. ex. les considérations sociales et culturelles, la taille des portions, le budget, les ressources, la synchronisation, </w:t>
            </w:r>
            <w:r w:rsidRPr="00AD192C">
              <w:rPr>
                <w:lang w:val="fr-CA"/>
              </w:rPr>
              <w:br/>
              <w:t>le niveau de compétence requis, le caractère saisonnier et l’accessibilité des aliments, la présentation des mets</w:t>
            </w:r>
          </w:p>
          <w:p w14:paraId="21784679" w14:textId="18661E92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pratiques d’alimentation :</w:t>
            </w:r>
            <w:r w:rsidRPr="00AD192C">
              <w:rPr>
                <w:lang w:val="fr-CA"/>
              </w:rPr>
              <w:t xml:space="preserve"> circonstances diverses (avec qui, quoi, quand, comment, pourquoi, où, occasions formelles, informelles ou spéciales </w:t>
            </w:r>
            <w:r w:rsidRPr="00AD192C">
              <w:rPr>
                <w:lang w:val="fr-CA"/>
              </w:rPr>
              <w:br/>
              <w:t xml:space="preserve">et étiquettes culturelles) dans lesquelles la nourriture est consommée </w:t>
            </w:r>
          </w:p>
          <w:p w14:paraId="1E345FAF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Protocoles</w:t>
            </w:r>
            <w:r w:rsidRPr="00AD192C">
              <w:rPr>
                <w:lang w:val="fr-CA"/>
              </w:rPr>
              <w:t> : varient en fonction des traditions et des pratiques des peuples autochtones de la région</w:t>
            </w:r>
          </w:p>
          <w:p w14:paraId="5A477A3D" w14:textId="77777777" w:rsidR="007B4D81" w:rsidRPr="00AD192C" w:rsidRDefault="007B4D81" w:rsidP="007B4D81">
            <w:pPr>
              <w:pStyle w:val="ListParagraph"/>
              <w:rPr>
                <w:lang w:val="fr-CA"/>
              </w:rPr>
            </w:pPr>
            <w:r w:rsidRPr="00AD192C">
              <w:rPr>
                <w:b/>
                <w:lang w:val="fr-CA"/>
              </w:rPr>
              <w:t>appropriation culturelle</w:t>
            </w:r>
            <w:r w:rsidRPr="00AD192C">
              <w:rPr>
                <w:lang w:val="fr-CA"/>
              </w:rPr>
              <w:t> : utilisation de motifs, de thèmes, de « voix », d’images, de connaissances, de récits ou de recettes sans autorisation ou sans mise en contexte adéquate, ou encore d’une manière qui dénature l’expérience vécue par les personnes appartenant à la culture d’origine</w:t>
            </w:r>
          </w:p>
          <w:p w14:paraId="4C948E40" w14:textId="7F085852" w:rsidR="00A85D89" w:rsidRPr="00AD192C" w:rsidRDefault="007B4D81" w:rsidP="007B4D81">
            <w:pPr>
              <w:pStyle w:val="ListParagraph"/>
              <w:spacing w:after="120"/>
              <w:rPr>
                <w:rFonts w:cs="Cambria"/>
                <w:b/>
                <w:spacing w:val="-4"/>
                <w:lang w:val="fr-CA"/>
              </w:rPr>
            </w:pPr>
            <w:r w:rsidRPr="00AD192C">
              <w:rPr>
                <w:b/>
                <w:spacing w:val="-4"/>
                <w:lang w:val="fr-CA"/>
              </w:rPr>
              <w:t xml:space="preserve">systèmes alimentaires : </w:t>
            </w:r>
            <w:r w:rsidRPr="00AD192C">
              <w:rPr>
                <w:spacing w:val="-4"/>
                <w:lang w:val="fr-CA"/>
              </w:rPr>
              <w:t>culture, récolte, traitement, emballage, transport, marketing, consommation et élimination des aliments et des produits</w:t>
            </w:r>
            <w:r w:rsidR="00AE5E3E" w:rsidRPr="00AD192C">
              <w:rPr>
                <w:spacing w:val="-4"/>
                <w:lang w:val="fr-CA"/>
              </w:rPr>
              <w:t xml:space="preserve"> connexes</w:t>
            </w:r>
          </w:p>
        </w:tc>
      </w:tr>
    </w:tbl>
    <w:p w14:paraId="08CF9400" w14:textId="77777777" w:rsidR="00F9586F" w:rsidRPr="00AD192C" w:rsidRDefault="00F9586F" w:rsidP="007B4D81">
      <w:pPr>
        <w:rPr>
          <w:sz w:val="2"/>
          <w:szCs w:val="2"/>
          <w:lang w:val="fr-CA"/>
        </w:rPr>
      </w:pPr>
    </w:p>
    <w:sectPr w:rsidR="00F9586F" w:rsidRPr="00AD192C" w:rsidSect="004B6F67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Dialog">
    <w:altName w:val="Times New Roman"/>
    <w:charset w:val="00"/>
    <w:family w:val="auto"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A98C2" w14:textId="77777777" w:rsidR="007B4D81" w:rsidRPr="00E80591" w:rsidRDefault="007B4D81" w:rsidP="007B4D81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Mars 2018 </w:t>
    </w:r>
    <w:r w:rsidRPr="00E80591">
      <w:rPr>
        <w:rFonts w:ascii="Helvetica" w:hAnsi="Helvetica"/>
        <w:i/>
        <w:sz w:val="20"/>
      </w:rPr>
      <w:tab/>
    </w:r>
    <w:r w:rsidRPr="00E80591">
      <w:rPr>
        <w:rStyle w:val="PageNumber"/>
        <w:rFonts w:ascii="Helvetica" w:hAnsi="Helvetica"/>
        <w:sz w:val="20"/>
      </w:rPr>
      <w:t>www.curriculum.gov.bc.ca</w:t>
    </w:r>
    <w:r w:rsidRPr="00E80591">
      <w:rPr>
        <w:rFonts w:ascii="Helvetica" w:hAnsi="Helvetica"/>
        <w:i/>
        <w:sz w:val="20"/>
      </w:rPr>
      <w:tab/>
    </w:r>
    <w:r w:rsidRPr="00591CA5">
      <w:rPr>
        <w:rFonts w:ascii="Helvetica" w:hAnsi="Helvetica"/>
        <w:i/>
        <w:sz w:val="20"/>
        <w:lang w:val="fr-CA"/>
      </w:rPr>
      <w:t>© Province de la Colombie-Britannique</w:t>
    </w:r>
    <w:r w:rsidRPr="00591CA5">
      <w:rPr>
        <w:rFonts w:ascii="Helvetica" w:hAnsi="Helvetica"/>
        <w:i/>
        <w:sz w:val="20"/>
        <w:lang w:val="fr-CA"/>
      </w:rPr>
      <w:tab/>
      <w:t>•</w:t>
    </w:r>
    <w:r w:rsidRPr="00591CA5">
      <w:rPr>
        <w:rFonts w:ascii="Helvetica" w:hAnsi="Helvetica"/>
        <w:i/>
        <w:sz w:val="20"/>
        <w:lang w:val="fr-CA"/>
      </w:rPr>
      <w:tab/>
    </w:r>
    <w:r w:rsidRPr="00591CA5">
      <w:rPr>
        <w:rStyle w:val="PageNumber"/>
        <w:rFonts w:ascii="Helvetica" w:hAnsi="Helvetica"/>
        <w:i/>
        <w:sz w:val="20"/>
        <w:lang w:val="fr-CA"/>
      </w:rPr>
      <w:fldChar w:fldCharType="begin"/>
    </w:r>
    <w:r w:rsidRPr="00591CA5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591CA5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AD192C">
      <w:rPr>
        <w:rStyle w:val="PageNumber"/>
        <w:rFonts w:ascii="Helvetica" w:hAnsi="Helvetica"/>
        <w:i/>
        <w:noProof/>
        <w:sz w:val="20"/>
        <w:lang w:val="fr-CA"/>
      </w:rPr>
      <w:t>3</w:t>
    </w:r>
    <w:r w:rsidRPr="00591CA5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3473DE"/>
    <w:multiLevelType w:val="hybridMultilevel"/>
    <w:tmpl w:val="708E63D4"/>
    <w:lvl w:ilvl="0" w:tplc="10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  <w:num w:numId="1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4C78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35F25"/>
    <w:rsid w:val="002747D7"/>
    <w:rsid w:val="00287CDA"/>
    <w:rsid w:val="002967B0"/>
    <w:rsid w:val="002C42CD"/>
    <w:rsid w:val="002E3C1B"/>
    <w:rsid w:val="002E55AA"/>
    <w:rsid w:val="003139F3"/>
    <w:rsid w:val="00315439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31C04"/>
    <w:rsid w:val="0056669F"/>
    <w:rsid w:val="00567385"/>
    <w:rsid w:val="0059376F"/>
    <w:rsid w:val="005A2812"/>
    <w:rsid w:val="005B496A"/>
    <w:rsid w:val="005C0C77"/>
    <w:rsid w:val="005C787D"/>
    <w:rsid w:val="005D26DB"/>
    <w:rsid w:val="005E0FCC"/>
    <w:rsid w:val="005F4985"/>
    <w:rsid w:val="00607C26"/>
    <w:rsid w:val="00620D38"/>
    <w:rsid w:val="006211F9"/>
    <w:rsid w:val="0065155B"/>
    <w:rsid w:val="00685BC9"/>
    <w:rsid w:val="006A57B0"/>
    <w:rsid w:val="006C1F70"/>
    <w:rsid w:val="006C2723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96ED0"/>
    <w:rsid w:val="007A2E04"/>
    <w:rsid w:val="007B49A4"/>
    <w:rsid w:val="007B4D81"/>
    <w:rsid w:val="007D6E60"/>
    <w:rsid w:val="007E2302"/>
    <w:rsid w:val="007E28EF"/>
    <w:rsid w:val="007F6181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320DB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2482D"/>
    <w:rsid w:val="00A26CE6"/>
    <w:rsid w:val="00A34E20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D192C"/>
    <w:rsid w:val="00AE0477"/>
    <w:rsid w:val="00AE5E3E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4637F"/>
    <w:rsid w:val="00D64299"/>
    <w:rsid w:val="00D65F87"/>
    <w:rsid w:val="00D735D9"/>
    <w:rsid w:val="00D8654A"/>
    <w:rsid w:val="00DA79C0"/>
    <w:rsid w:val="00DC1DA5"/>
    <w:rsid w:val="00DC2C4B"/>
    <w:rsid w:val="00DD1C77"/>
    <w:rsid w:val="00E120C4"/>
    <w:rsid w:val="00E13917"/>
    <w:rsid w:val="00E2444A"/>
    <w:rsid w:val="00E80591"/>
    <w:rsid w:val="00E834AB"/>
    <w:rsid w:val="00E842D8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A7ED4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9366-762C-C74B-93ED-F5580E43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1087</Words>
  <Characters>6742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7814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21</cp:revision>
  <cp:lastPrinted>2018-03-14T18:14:00Z</cp:lastPrinted>
  <dcterms:created xsi:type="dcterms:W3CDTF">2018-03-21T22:11:00Z</dcterms:created>
  <dcterms:modified xsi:type="dcterms:W3CDTF">2018-05-16T20:55:00Z</dcterms:modified>
</cp:coreProperties>
</file>