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50584" w14:textId="01CF1480" w:rsidR="00897325" w:rsidRPr="001A258A" w:rsidRDefault="00897325" w:rsidP="00897325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4F763E57" wp14:editId="0642631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58A">
        <w:rPr>
          <w:b/>
          <w:sz w:val="28"/>
        </w:rPr>
        <w:t xml:space="preserve">Area of Learning: </w:t>
      </w:r>
      <w:r w:rsidRPr="001A258A">
        <w:rPr>
          <w:b/>
          <w:caps/>
          <w:sz w:val="28"/>
        </w:rPr>
        <w:t>Applied Design, Skills, and Technologies</w:t>
      </w:r>
      <w:r w:rsidRPr="001A258A">
        <w:rPr>
          <w:b/>
          <w:sz w:val="28"/>
        </w:rPr>
        <w:t xml:space="preserve"> — </w:t>
      </w:r>
      <w:r w:rsidRPr="001A258A">
        <w:rPr>
          <w:b/>
          <w:sz w:val="28"/>
        </w:rPr>
        <w:br/>
      </w:r>
      <w:r w:rsidRPr="00897325">
        <w:rPr>
          <w:b/>
          <w:sz w:val="28"/>
          <w:lang w:val="en-CA"/>
        </w:rPr>
        <w:t>Interpersonal and Family Relationships</w:t>
      </w:r>
      <w:r w:rsidRPr="001A258A">
        <w:rPr>
          <w:b/>
          <w:sz w:val="28"/>
        </w:rPr>
        <w:tab/>
        <w:t>Grade 1</w:t>
      </w:r>
      <w:r>
        <w:rPr>
          <w:b/>
          <w:sz w:val="28"/>
        </w:rPr>
        <w:t>1</w:t>
      </w:r>
    </w:p>
    <w:p w14:paraId="790161B5" w14:textId="77777777" w:rsidR="00897325" w:rsidRPr="001A258A" w:rsidRDefault="00897325" w:rsidP="00897325">
      <w:pPr>
        <w:tabs>
          <w:tab w:val="right" w:pos="14232"/>
        </w:tabs>
        <w:spacing w:before="60"/>
        <w:rPr>
          <w:b/>
          <w:sz w:val="28"/>
        </w:rPr>
      </w:pPr>
      <w:r w:rsidRPr="001A258A">
        <w:rPr>
          <w:b/>
          <w:sz w:val="28"/>
        </w:rPr>
        <w:tab/>
      </w:r>
    </w:p>
    <w:p w14:paraId="5661E3BC" w14:textId="77777777" w:rsidR="00123905" w:rsidRPr="002B0409" w:rsidRDefault="00123905" w:rsidP="007336E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2B040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00"/>
        <w:gridCol w:w="240"/>
        <w:gridCol w:w="3200"/>
        <w:gridCol w:w="240"/>
        <w:gridCol w:w="3000"/>
      </w:tblGrid>
      <w:tr w:rsidR="00DA568D" w:rsidRPr="002B0409" w14:paraId="4CA59F1C" w14:textId="77777777" w:rsidTr="00FA3778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A3E6AAF" w:rsidR="000E4C78" w:rsidRPr="002B0409" w:rsidRDefault="000D7BC6" w:rsidP="007336E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530E1">
              <w:rPr>
                <w:rFonts w:ascii="Helvetica" w:hAnsi="Helvetica" w:cstheme="minorHAnsi"/>
                <w:color w:val="000000"/>
                <w:szCs w:val="20"/>
              </w:rPr>
              <w:t xml:space="preserve">Services and products can </w:t>
            </w:r>
            <w:r w:rsidR="00FA3778">
              <w:rPr>
                <w:rFonts w:ascii="Helvetica" w:hAnsi="Helvetica" w:cstheme="minorHAnsi"/>
                <w:color w:val="000000"/>
                <w:szCs w:val="20"/>
              </w:rPr>
              <w:br/>
            </w:r>
            <w:r w:rsidRPr="007530E1">
              <w:rPr>
                <w:rFonts w:ascii="Helvetica" w:hAnsi="Helvetica" w:cstheme="minorHAnsi"/>
                <w:color w:val="000000"/>
                <w:szCs w:val="20"/>
              </w:rPr>
              <w:t xml:space="preserve">be designed through </w:t>
            </w:r>
            <w:r w:rsidR="00FA3778">
              <w:rPr>
                <w:rFonts w:ascii="Helvetica" w:hAnsi="Helvetica" w:cstheme="minorHAnsi"/>
                <w:color w:val="000000"/>
                <w:szCs w:val="20"/>
              </w:rPr>
              <w:br/>
            </w:r>
            <w:r w:rsidRPr="007530E1">
              <w:rPr>
                <w:rFonts w:ascii="Helvetica" w:hAnsi="Helvetica" w:cstheme="minorHAnsi"/>
                <w:color w:val="000000"/>
                <w:szCs w:val="20"/>
              </w:rPr>
              <w:t>consultation and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2B0409" w:rsidRDefault="000E4C78" w:rsidP="007336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FDAB365" w:rsidR="000E4C78" w:rsidRPr="002B0409" w:rsidRDefault="000D7BC6" w:rsidP="007336EB">
            <w:pPr>
              <w:pStyle w:val="Tablestyle1"/>
              <w:rPr>
                <w:rFonts w:cs="Arial"/>
                <w:lang w:val="en-GB"/>
              </w:rPr>
            </w:pPr>
            <w:r w:rsidRPr="007530E1">
              <w:rPr>
                <w:rFonts w:ascii="Helvetica" w:hAnsi="Helvetica" w:cstheme="minorHAnsi"/>
                <w:b/>
                <w:color w:val="000000"/>
                <w:szCs w:val="20"/>
              </w:rPr>
              <w:t>Service design</w:t>
            </w:r>
            <w:r w:rsidRPr="007530E1">
              <w:rPr>
                <w:rFonts w:ascii="Helvetica" w:hAnsi="Helvetica" w:cstheme="minorHAnsi"/>
                <w:color w:val="000000"/>
                <w:szCs w:val="20"/>
              </w:rPr>
              <w:t xml:space="preserve"> interests require the evaluation and refinement of problem-solving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2B0409" w:rsidRDefault="000E4C78" w:rsidP="007336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7ECFD83" w:rsidR="000E4C78" w:rsidRPr="002B0409" w:rsidRDefault="000D7BC6" w:rsidP="007336EB">
            <w:pPr>
              <w:pStyle w:val="Tablestyle1"/>
              <w:rPr>
                <w:rFonts w:cs="Arial"/>
                <w:lang w:val="en-GB"/>
              </w:rPr>
            </w:pPr>
            <w:r w:rsidRPr="007530E1">
              <w:rPr>
                <w:rFonts w:ascii="Helvetica" w:hAnsi="Helvetica" w:cstheme="minorHAnsi"/>
                <w:color w:val="000000"/>
                <w:szCs w:val="20"/>
              </w:rPr>
              <w:t xml:space="preserve">Tools and technologies can influence communications </w:t>
            </w:r>
            <w:r w:rsidR="00FA3778">
              <w:rPr>
                <w:rFonts w:ascii="Helvetica" w:hAnsi="Helvetica" w:cstheme="minorHAnsi"/>
                <w:color w:val="000000"/>
                <w:szCs w:val="20"/>
              </w:rPr>
              <w:br/>
            </w:r>
            <w:r w:rsidRPr="007530E1">
              <w:rPr>
                <w:rFonts w:ascii="Helvetica" w:hAnsi="Helvetica" w:cstheme="minorHAnsi"/>
                <w:color w:val="000000"/>
                <w:szCs w:val="20"/>
              </w:rPr>
              <w:t>and relationships</w:t>
            </w:r>
            <w:r w:rsidR="00BC6294" w:rsidRPr="00A502FC">
              <w:rPr>
                <w:rFonts w:ascii="Helvetica" w:hAnsi="Helvetica" w:cstheme="minorHAnsi"/>
                <w:color w:val="000000"/>
                <w:szCs w:val="20"/>
              </w:rPr>
              <w:t>.</w:t>
            </w:r>
          </w:p>
        </w:tc>
      </w:tr>
    </w:tbl>
    <w:p w14:paraId="08D5E2A5" w14:textId="77777777" w:rsidR="00123905" w:rsidRPr="002B0409" w:rsidRDefault="00123905" w:rsidP="007336EB"/>
    <w:p w14:paraId="6513D803" w14:textId="77777777" w:rsidR="00F9586F" w:rsidRPr="002B0409" w:rsidRDefault="0059376F" w:rsidP="007336EB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  <w:gridCol w:w="4996"/>
      </w:tblGrid>
      <w:tr w:rsidR="00D73426" w:rsidRPr="002B0409" w14:paraId="7C49560F" w14:textId="77777777" w:rsidTr="00D73426">
        <w:tc>
          <w:tcPr>
            <w:tcW w:w="3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2B0409" w:rsidRDefault="0059376F" w:rsidP="007336EB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2B0409" w:rsidRDefault="0059376F" w:rsidP="007336EB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D73426" w:rsidRPr="002B0409" w14:paraId="5149B766" w14:textId="77777777" w:rsidTr="00D73426">
        <w:tc>
          <w:tcPr>
            <w:tcW w:w="3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2B0409" w:rsidRDefault="00707ADF" w:rsidP="007336EB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2B0409" w:rsidRDefault="0098762D" w:rsidP="007336EB">
            <w:pPr>
              <w:pStyle w:val="Topic"/>
              <w:contextualSpacing w:val="0"/>
            </w:pPr>
            <w:r w:rsidRPr="002B0409">
              <w:t>Applied Design</w:t>
            </w:r>
          </w:p>
          <w:p w14:paraId="62A44689" w14:textId="77777777" w:rsidR="00707ADF" w:rsidRPr="002B0409" w:rsidRDefault="00AE0477" w:rsidP="007336EB">
            <w:pPr>
              <w:pStyle w:val="TopicSubItalics"/>
              <w:spacing w:before="60"/>
            </w:pPr>
            <w:r w:rsidRPr="002B0409">
              <w:t>Understanding context</w:t>
            </w:r>
          </w:p>
          <w:p w14:paraId="5D760981" w14:textId="67DBC253" w:rsidR="00F13713" w:rsidRPr="002B0409" w:rsidRDefault="00131A66" w:rsidP="007336EB">
            <w:pPr>
              <w:pStyle w:val="ListParagraph"/>
            </w:pPr>
            <w:r w:rsidRPr="007530E1">
              <w:rPr>
                <w:color w:val="000000"/>
                <w:lang w:val="en-US"/>
              </w:rPr>
              <w:t xml:space="preserve">Engage in </w:t>
            </w:r>
            <w:r w:rsidRPr="007530E1">
              <w:rPr>
                <w:b/>
                <w:bCs/>
                <w:color w:val="000000"/>
                <w:lang w:val="en-US"/>
              </w:rPr>
              <w:t xml:space="preserve">research </w:t>
            </w:r>
            <w:r w:rsidRPr="007530E1">
              <w:rPr>
                <w:color w:val="000000"/>
                <w:lang w:val="en-US"/>
              </w:rPr>
              <w:t xml:space="preserve">and </w:t>
            </w:r>
            <w:r w:rsidRPr="007530E1">
              <w:rPr>
                <w:b/>
                <w:bCs/>
                <w:color w:val="000000"/>
                <w:lang w:val="en-US"/>
              </w:rPr>
              <w:t xml:space="preserve">empathetic observation </w:t>
            </w:r>
            <w:r w:rsidRPr="007530E1">
              <w:rPr>
                <w:bCs/>
                <w:color w:val="000000"/>
                <w:lang w:val="en-US"/>
              </w:rPr>
              <w:t xml:space="preserve">to determine service design </w:t>
            </w:r>
            <w:r w:rsidR="00D73426">
              <w:rPr>
                <w:bCs/>
                <w:color w:val="000000"/>
                <w:lang w:val="en-US"/>
              </w:rPr>
              <w:br/>
            </w:r>
            <w:r w:rsidRPr="007530E1">
              <w:rPr>
                <w:bCs/>
                <w:color w:val="000000"/>
                <w:lang w:val="en-US"/>
              </w:rPr>
              <w:t>opportunities and barriers</w:t>
            </w:r>
          </w:p>
          <w:p w14:paraId="79497A35" w14:textId="235D9F88" w:rsidR="00F13713" w:rsidRPr="002B0409" w:rsidRDefault="00F13713" w:rsidP="006109F9">
            <w:pPr>
              <w:pStyle w:val="TopicSubItalics"/>
              <w:spacing w:after="20"/>
            </w:pPr>
            <w:r w:rsidRPr="002B0409">
              <w:t>Defining</w:t>
            </w:r>
          </w:p>
          <w:p w14:paraId="08BD3E80" w14:textId="77777777" w:rsidR="00131A66" w:rsidRPr="007530E1" w:rsidRDefault="00131A66" w:rsidP="00131A66">
            <w:pPr>
              <w:pStyle w:val="ListParagraph"/>
            </w:pPr>
            <w:r w:rsidRPr="007530E1">
              <w:t xml:space="preserve">Establish a point of view for a chosen </w:t>
            </w:r>
            <w:r w:rsidRPr="007530E1">
              <w:rPr>
                <w:bCs/>
              </w:rPr>
              <w:t>service design</w:t>
            </w:r>
            <w:r w:rsidRPr="007530E1">
              <w:t xml:space="preserve"> opportunity</w:t>
            </w:r>
          </w:p>
          <w:p w14:paraId="5F136CD8" w14:textId="77777777" w:rsidR="00131A66" w:rsidRPr="007530E1" w:rsidRDefault="00131A66" w:rsidP="00131A66">
            <w:pPr>
              <w:pStyle w:val="ListParagraph"/>
            </w:pPr>
            <w:r w:rsidRPr="007530E1">
              <w:t>Identify context and requirements and wishes of people involved</w:t>
            </w:r>
          </w:p>
          <w:p w14:paraId="7A37F024" w14:textId="74BACF01" w:rsidR="00F13713" w:rsidRPr="00E71564" w:rsidRDefault="00131A66" w:rsidP="00131A66">
            <w:pPr>
              <w:pStyle w:val="ListParagraph"/>
              <w:rPr>
                <w:spacing w:val="-3"/>
              </w:rPr>
            </w:pPr>
            <w:r w:rsidRPr="007530E1">
              <w:t xml:space="preserve">Identify criteria for success, intended </w:t>
            </w:r>
            <w:r w:rsidRPr="007530E1">
              <w:rPr>
                <w:b/>
                <w:bCs/>
              </w:rPr>
              <w:t>valued impact</w:t>
            </w:r>
            <w:r w:rsidRPr="007530E1">
              <w:rPr>
                <w:bCs/>
              </w:rPr>
              <w:t>,</w:t>
            </w:r>
            <w:r w:rsidRPr="007530E1">
              <w:t xml:space="preserve"> </w:t>
            </w:r>
            <w:r w:rsidRPr="007530E1">
              <w:rPr>
                <w:b/>
                <w:bCs/>
              </w:rPr>
              <w:t>constraints</w:t>
            </w:r>
            <w:r w:rsidRPr="007530E1">
              <w:rPr>
                <w:bCs/>
              </w:rPr>
              <w:t xml:space="preserve">, </w:t>
            </w:r>
            <w:r w:rsidRPr="007530E1">
              <w:t xml:space="preserve">and possible </w:t>
            </w:r>
            <w:r w:rsidR="00D73426">
              <w:br/>
            </w:r>
            <w:r w:rsidRPr="007530E1">
              <w:t>unintended negative consequences</w:t>
            </w:r>
          </w:p>
          <w:p w14:paraId="4F049F52" w14:textId="59BDE42B" w:rsidR="00F13713" w:rsidRPr="002B0409" w:rsidRDefault="00F13713" w:rsidP="006109F9">
            <w:pPr>
              <w:pStyle w:val="TopicSubItalics"/>
              <w:spacing w:after="20"/>
            </w:pPr>
            <w:r w:rsidRPr="002B0409">
              <w:t>Ideating</w:t>
            </w:r>
          </w:p>
          <w:p w14:paraId="76A22037" w14:textId="77777777" w:rsidR="00131A66" w:rsidRPr="007530E1" w:rsidRDefault="00131A66" w:rsidP="00131A66">
            <w:pPr>
              <w:pStyle w:val="ListParagraph"/>
            </w:pPr>
            <w:r w:rsidRPr="007530E1">
              <w:t>Take creative risks in generating ideas and add to others’ ideas in ways that enhance them</w:t>
            </w:r>
          </w:p>
          <w:p w14:paraId="44BAD916" w14:textId="77777777" w:rsidR="00131A66" w:rsidRPr="007530E1" w:rsidRDefault="00131A66" w:rsidP="00131A66">
            <w:pPr>
              <w:pStyle w:val="ListParagraph"/>
            </w:pPr>
            <w:r w:rsidRPr="007530E1">
              <w:t>Screen ideas against criteria and constraints</w:t>
            </w:r>
          </w:p>
          <w:p w14:paraId="4F270B9D" w14:textId="3DA445EF" w:rsidR="00131A66" w:rsidRPr="007530E1" w:rsidRDefault="00131A66" w:rsidP="00131A66">
            <w:pPr>
              <w:pStyle w:val="ListParagraph"/>
            </w:pPr>
            <w:r w:rsidRPr="007530E1">
              <w:t xml:space="preserve">Analyze potential </w:t>
            </w:r>
            <w:r w:rsidRPr="007530E1">
              <w:rPr>
                <w:b/>
              </w:rPr>
              <w:t>competing factors</w:t>
            </w:r>
            <w:r w:rsidRPr="007530E1">
              <w:t xml:space="preserve"> to meet individual, family, and community needs </w:t>
            </w:r>
            <w:r w:rsidR="00D73426">
              <w:br/>
            </w:r>
            <w:r w:rsidRPr="007530E1">
              <w:t>for preferred futures</w:t>
            </w:r>
          </w:p>
          <w:p w14:paraId="039F3222" w14:textId="27F57215" w:rsidR="00F13713" w:rsidRPr="002B0409" w:rsidRDefault="00131A66" w:rsidP="00131A66">
            <w:pPr>
              <w:pStyle w:val="ListParagraph"/>
            </w:pPr>
            <w:r w:rsidRPr="007530E1">
              <w:t xml:space="preserve">Identify, prioritize, and apply </w:t>
            </w:r>
            <w:r w:rsidRPr="007530E1">
              <w:rPr>
                <w:b/>
                <w:bCs/>
              </w:rPr>
              <w:t xml:space="preserve">sources of inspiration </w:t>
            </w:r>
            <w:r w:rsidRPr="007530E1">
              <w:t xml:space="preserve">and </w:t>
            </w:r>
            <w:r w:rsidRPr="007530E1">
              <w:rPr>
                <w:b/>
                <w:bCs/>
              </w:rPr>
              <w:t>information</w:t>
            </w:r>
            <w:r w:rsidRPr="007530E1">
              <w:rPr>
                <w:bCs/>
              </w:rPr>
              <w:t>,</w:t>
            </w:r>
            <w:r w:rsidRPr="007530E1">
              <w:rPr>
                <w:b/>
                <w:bCs/>
              </w:rPr>
              <w:t xml:space="preserve"> </w:t>
            </w:r>
            <w:r w:rsidRPr="007530E1">
              <w:t>and include people involved when possible</w:t>
            </w:r>
          </w:p>
          <w:p w14:paraId="33F43590" w14:textId="77777777" w:rsidR="00131A66" w:rsidRPr="002B0409" w:rsidRDefault="000A19D1" w:rsidP="006109F9">
            <w:pPr>
              <w:pStyle w:val="TopicSubItalics"/>
              <w:spacing w:after="20"/>
            </w:pPr>
            <w:r w:rsidRPr="000A19D1">
              <w:t>Prototyping</w:t>
            </w:r>
          </w:p>
          <w:p w14:paraId="51429997" w14:textId="21256DDB" w:rsidR="00131A66" w:rsidRPr="007530E1" w:rsidRDefault="00131A66" w:rsidP="00131A66">
            <w:pPr>
              <w:pStyle w:val="ListParagraph"/>
            </w:pPr>
            <w:r w:rsidRPr="007530E1">
              <w:t xml:space="preserve">Develop a product and/or </w:t>
            </w:r>
            <w:r w:rsidRPr="007530E1">
              <w:rPr>
                <w:b/>
                <w:bCs/>
              </w:rPr>
              <w:t xml:space="preserve">service plan </w:t>
            </w:r>
            <w:r w:rsidRPr="007530E1">
              <w:t>that includes key stages and resources</w:t>
            </w:r>
          </w:p>
          <w:p w14:paraId="61D86295" w14:textId="030B146B" w:rsidR="0045169A" w:rsidRPr="002B0409" w:rsidRDefault="00131A66" w:rsidP="00D73426">
            <w:pPr>
              <w:pStyle w:val="ListParagraph"/>
              <w:spacing w:after="120"/>
            </w:pPr>
            <w:r w:rsidRPr="007530E1">
              <w:t xml:space="preserve">Evaluate strategies for effective use and possible individual, familial, and community </w:t>
            </w:r>
            <w:r w:rsidRPr="007530E1">
              <w:rPr>
                <w:b/>
                <w:bCs/>
              </w:rPr>
              <w:t>impacts</w:t>
            </w: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2B0409" w:rsidRDefault="00E87A9D" w:rsidP="007336EB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01ECFD7" w14:textId="77777777" w:rsidR="00102BF3" w:rsidRPr="007530E1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b/>
              </w:rPr>
              <w:t>service design opportunities</w:t>
            </w:r>
            <w:r w:rsidRPr="007530E1">
              <w:t xml:space="preserve"> for individuals and families across their lifespan </w:t>
            </w:r>
          </w:p>
          <w:p w14:paraId="29183849" w14:textId="71489CC9" w:rsidR="00102BF3" w:rsidRPr="007530E1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color w:val="000000"/>
              </w:rPr>
              <w:t xml:space="preserve">factors involved in </w:t>
            </w:r>
            <w:r w:rsidRPr="007530E1">
              <w:rPr>
                <w:b/>
                <w:bCs/>
                <w:color w:val="000000"/>
              </w:rPr>
              <w:t>interpersonal relationships</w:t>
            </w:r>
            <w:r w:rsidRPr="007530E1">
              <w:rPr>
                <w:color w:val="000000"/>
              </w:rPr>
              <w:t xml:space="preserve">, including </w:t>
            </w:r>
            <w:r w:rsidRPr="007530E1">
              <w:rPr>
                <w:b/>
                <w:bCs/>
                <w:color w:val="000000"/>
              </w:rPr>
              <w:t>types</w:t>
            </w:r>
            <w:r w:rsidRPr="007530E1">
              <w:rPr>
                <w:color w:val="000000"/>
              </w:rPr>
              <w:t xml:space="preserve">, roles, </w:t>
            </w:r>
            <w:r>
              <w:rPr>
                <w:color w:val="000000"/>
              </w:rPr>
              <w:br/>
            </w:r>
            <w:r w:rsidRPr="007530E1">
              <w:rPr>
                <w:color w:val="000000"/>
              </w:rPr>
              <w:t>and functions</w:t>
            </w:r>
          </w:p>
          <w:p w14:paraId="2133FF72" w14:textId="77777777" w:rsidR="00102BF3" w:rsidRPr="007530E1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b/>
                <w:color w:val="000000"/>
              </w:rPr>
              <w:t>nature of committed relationships</w:t>
            </w:r>
            <w:r w:rsidRPr="007530E1">
              <w:rPr>
                <w:color w:val="000000"/>
              </w:rPr>
              <w:t xml:space="preserve">, including the </w:t>
            </w:r>
            <w:r w:rsidRPr="007530E1">
              <w:rPr>
                <w:b/>
                <w:color w:val="000000"/>
              </w:rPr>
              <w:t xml:space="preserve">influences of </w:t>
            </w:r>
            <w:r w:rsidRPr="007530E1">
              <w:rPr>
                <w:b/>
                <w:bCs/>
                <w:color w:val="000000"/>
              </w:rPr>
              <w:t>community and culture</w:t>
            </w:r>
          </w:p>
          <w:p w14:paraId="62DB715C" w14:textId="77777777" w:rsidR="00102BF3" w:rsidRPr="007530E1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b/>
                <w:bCs/>
                <w:color w:val="000000"/>
              </w:rPr>
              <w:t>factors involved in ending relationships</w:t>
            </w:r>
          </w:p>
          <w:p w14:paraId="1798B210" w14:textId="2E998D05" w:rsidR="00102BF3" w:rsidRPr="007530E1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color w:val="000000"/>
              </w:rPr>
              <w:t>components</w:t>
            </w:r>
            <w:r w:rsidRPr="007530E1">
              <w:rPr>
                <w:b/>
                <w:bCs/>
                <w:color w:val="000000"/>
              </w:rPr>
              <w:t xml:space="preserve"> </w:t>
            </w:r>
            <w:r w:rsidRPr="007530E1">
              <w:rPr>
                <w:color w:val="000000"/>
              </w:rPr>
              <w:t xml:space="preserve">of </w:t>
            </w:r>
            <w:r w:rsidRPr="007530E1">
              <w:rPr>
                <w:b/>
                <w:bCs/>
                <w:color w:val="000000"/>
              </w:rPr>
              <w:t>healthy</w:t>
            </w:r>
            <w:r w:rsidRPr="007530E1">
              <w:rPr>
                <w:b/>
                <w:color w:val="000000"/>
              </w:rPr>
              <w:t xml:space="preserve"> relationships</w:t>
            </w:r>
            <w:r w:rsidRPr="007530E1">
              <w:rPr>
                <w:color w:val="000000"/>
              </w:rPr>
              <w:t xml:space="preserve"> and </w:t>
            </w:r>
            <w:r>
              <w:rPr>
                <w:color w:val="000000"/>
              </w:rPr>
              <w:br/>
            </w:r>
            <w:r w:rsidRPr="007530E1">
              <w:rPr>
                <w:color w:val="000000"/>
              </w:rPr>
              <w:t>how to thrive and reciprocate in a variety of interpersonal relationships</w:t>
            </w:r>
          </w:p>
          <w:p w14:paraId="57F3C8E8" w14:textId="77777777" w:rsidR="00102BF3" w:rsidRPr="007530E1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color w:val="000000"/>
              </w:rPr>
              <w:t>indicators of unsafe relationships and actions to ensure safety of self and others</w:t>
            </w:r>
          </w:p>
          <w:p w14:paraId="3E6F55DB" w14:textId="77777777" w:rsidR="00102BF3" w:rsidRPr="007530E1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color w:val="000000"/>
              </w:rPr>
              <w:t xml:space="preserve">interpersonal relationship </w:t>
            </w:r>
            <w:r w:rsidRPr="007530E1">
              <w:rPr>
                <w:b/>
                <w:color w:val="000000"/>
              </w:rPr>
              <w:t>communication styles and strategies</w:t>
            </w:r>
          </w:p>
          <w:p w14:paraId="503D89C6" w14:textId="77777777" w:rsidR="00102BF3" w:rsidRPr="007530E1" w:rsidRDefault="00102BF3" w:rsidP="00102BF3">
            <w:pPr>
              <w:pStyle w:val="ListParagraph"/>
            </w:pPr>
            <w:r w:rsidRPr="007530E1">
              <w:rPr>
                <w:bCs/>
                <w:color w:val="000000"/>
              </w:rPr>
              <w:t>cultural sensitivity and etiquette, including ethics of</w:t>
            </w:r>
            <w:r w:rsidRPr="007530E1">
              <w:rPr>
                <w:b/>
                <w:bCs/>
                <w:color w:val="000000"/>
              </w:rPr>
              <w:t xml:space="preserve"> cultural appropriation</w:t>
            </w:r>
          </w:p>
          <w:p w14:paraId="03C90176" w14:textId="63DB5B40" w:rsidR="00F82197" w:rsidRPr="00246224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bCs/>
                <w:color w:val="000000"/>
              </w:rPr>
              <w:t>problem-solving models</w:t>
            </w:r>
          </w:p>
        </w:tc>
      </w:tr>
    </w:tbl>
    <w:p w14:paraId="13873D34" w14:textId="77777777" w:rsidR="00897325" w:rsidRPr="001A258A" w:rsidRDefault="0018557D" w:rsidP="00897325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325" w:rsidRPr="001A258A">
        <w:rPr>
          <w:noProof/>
          <w:szCs w:val="20"/>
        </w:rPr>
        <w:drawing>
          <wp:anchor distT="0" distB="0" distL="114300" distR="114300" simplePos="0" relativeHeight="251666944" behindDoc="0" locked="0" layoutInCell="1" allowOverlap="1" wp14:anchorId="2CAC507E" wp14:editId="6998CDB5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325" w:rsidRPr="001A258A">
        <w:rPr>
          <w:b/>
          <w:sz w:val="28"/>
        </w:rPr>
        <w:t xml:space="preserve">Area of Learning: </w:t>
      </w:r>
      <w:r w:rsidR="00897325" w:rsidRPr="001A258A">
        <w:rPr>
          <w:b/>
          <w:caps/>
          <w:sz w:val="28"/>
        </w:rPr>
        <w:t>Applied Design, Skills, and Technologies</w:t>
      </w:r>
      <w:r w:rsidR="00897325" w:rsidRPr="001A258A">
        <w:rPr>
          <w:b/>
          <w:sz w:val="28"/>
        </w:rPr>
        <w:t xml:space="preserve"> — </w:t>
      </w:r>
      <w:r w:rsidR="00897325" w:rsidRPr="001A258A">
        <w:rPr>
          <w:b/>
          <w:sz w:val="28"/>
        </w:rPr>
        <w:br/>
      </w:r>
      <w:r w:rsidR="00897325" w:rsidRPr="00897325">
        <w:rPr>
          <w:b/>
          <w:sz w:val="28"/>
          <w:lang w:val="en-CA"/>
        </w:rPr>
        <w:t>Interpersonal and Family Relationships</w:t>
      </w:r>
      <w:r w:rsidR="00897325" w:rsidRPr="001A258A">
        <w:rPr>
          <w:b/>
          <w:sz w:val="28"/>
        </w:rPr>
        <w:tab/>
        <w:t>Grade 1</w:t>
      </w:r>
      <w:r w:rsidR="00897325">
        <w:rPr>
          <w:b/>
          <w:sz w:val="28"/>
        </w:rPr>
        <w:t>1</w:t>
      </w:r>
    </w:p>
    <w:p w14:paraId="4643A8B7" w14:textId="77777777" w:rsidR="00897325" w:rsidRPr="001A258A" w:rsidRDefault="00897325" w:rsidP="00897325">
      <w:pPr>
        <w:tabs>
          <w:tab w:val="right" w:pos="14232"/>
        </w:tabs>
        <w:spacing w:before="60"/>
        <w:rPr>
          <w:b/>
          <w:sz w:val="28"/>
        </w:rPr>
      </w:pPr>
      <w:r w:rsidRPr="001A258A">
        <w:rPr>
          <w:b/>
          <w:sz w:val="28"/>
        </w:rPr>
        <w:tab/>
      </w:r>
    </w:p>
    <w:p w14:paraId="1658F336" w14:textId="77777777" w:rsidR="0018557D" w:rsidRPr="002B0409" w:rsidRDefault="0018557D" w:rsidP="00E71564">
      <w:pPr>
        <w:spacing w:after="12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0"/>
        <w:gridCol w:w="3794"/>
      </w:tblGrid>
      <w:tr w:rsidR="003A2923" w:rsidRPr="002B0409" w14:paraId="2E2B08E1" w14:textId="77777777" w:rsidTr="003A2923">
        <w:tc>
          <w:tcPr>
            <w:tcW w:w="3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2B0409" w:rsidRDefault="0018557D" w:rsidP="007336EB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2B0409" w:rsidRDefault="0018557D" w:rsidP="007336EB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3A2923" w:rsidRPr="002B0409" w14:paraId="522264D9" w14:textId="77777777" w:rsidTr="003A2923">
        <w:tc>
          <w:tcPr>
            <w:tcW w:w="3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A9F56E" w14:textId="77777777" w:rsidR="001762D3" w:rsidRPr="002B0409" w:rsidRDefault="00F13713" w:rsidP="006109F9">
            <w:pPr>
              <w:pStyle w:val="TopicSubItalics"/>
              <w:spacing w:after="20"/>
            </w:pPr>
            <w:r w:rsidRPr="002B0409">
              <w:t>Testing</w:t>
            </w:r>
          </w:p>
          <w:p w14:paraId="680F30BE" w14:textId="77777777" w:rsidR="005973C9" w:rsidRPr="007530E1" w:rsidRDefault="005973C9" w:rsidP="005973C9">
            <w:pPr>
              <w:pStyle w:val="ListParagraph"/>
            </w:pPr>
            <w:r w:rsidRPr="007530E1">
              <w:t xml:space="preserve">Identify and access </w:t>
            </w:r>
            <w:r w:rsidRPr="006109F9">
              <w:rPr>
                <w:b/>
              </w:rPr>
              <w:t>sources of feedback</w:t>
            </w:r>
          </w:p>
          <w:p w14:paraId="29CDDD2A" w14:textId="77777777" w:rsidR="005973C9" w:rsidRPr="007530E1" w:rsidRDefault="005973C9" w:rsidP="005973C9">
            <w:pPr>
              <w:pStyle w:val="ListParagraph"/>
            </w:pPr>
            <w:r w:rsidRPr="007530E1">
              <w:t>Consult with people involved to gather constructive suggestions for improvement</w:t>
            </w:r>
          </w:p>
          <w:p w14:paraId="59AA5C90" w14:textId="77777777" w:rsidR="005973C9" w:rsidRPr="007530E1" w:rsidRDefault="005973C9" w:rsidP="005973C9">
            <w:pPr>
              <w:pStyle w:val="ListParagraph"/>
            </w:pPr>
            <w:r w:rsidRPr="007530E1">
              <w:t xml:space="preserve">Use consultation data and feedback to make </w:t>
            </w:r>
            <w:r w:rsidRPr="009A3896">
              <w:t>appropriate changes</w:t>
            </w:r>
          </w:p>
          <w:p w14:paraId="77ADE503" w14:textId="77777777" w:rsidR="005973C9" w:rsidRPr="007530E1" w:rsidRDefault="005973C9" w:rsidP="005973C9">
            <w:pPr>
              <w:pStyle w:val="ListParagraph"/>
            </w:pPr>
            <w:r w:rsidRPr="007530E1">
              <w:t xml:space="preserve">Identify and use </w:t>
            </w:r>
            <w:r w:rsidRPr="009A3896">
              <w:rPr>
                <w:b/>
              </w:rPr>
              <w:t>appropriate strategies</w:t>
            </w:r>
          </w:p>
          <w:p w14:paraId="71EF9BB0" w14:textId="6537A916" w:rsidR="00F13713" w:rsidRPr="002B0409" w:rsidRDefault="005973C9" w:rsidP="005973C9">
            <w:pPr>
              <w:pStyle w:val="ListParagraph"/>
            </w:pPr>
            <w:r w:rsidRPr="007530E1">
              <w:t xml:space="preserve">Use </w:t>
            </w:r>
            <w:r w:rsidRPr="006109F9">
              <w:rPr>
                <w:b/>
              </w:rPr>
              <w:t>project management processes</w:t>
            </w:r>
            <w:r w:rsidRPr="007530E1">
              <w:t xml:space="preserve"> throughout when working individually or collaboratively</w:t>
            </w:r>
          </w:p>
          <w:p w14:paraId="3D60D187" w14:textId="77777777" w:rsidR="00F13713" w:rsidRPr="002B0409" w:rsidRDefault="00F13713" w:rsidP="006109F9">
            <w:pPr>
              <w:pStyle w:val="TopicSubItalics"/>
              <w:spacing w:after="20"/>
            </w:pPr>
            <w:r w:rsidRPr="002B0409">
              <w:t>Sharing</w:t>
            </w:r>
          </w:p>
          <w:p w14:paraId="2C4681E3" w14:textId="77777777" w:rsidR="005973C9" w:rsidRPr="007530E1" w:rsidRDefault="005973C9" w:rsidP="005973C9">
            <w:pPr>
              <w:pStyle w:val="ListParagraph"/>
            </w:pPr>
            <w:r w:rsidRPr="007530E1">
              <w:rPr>
                <w:b/>
                <w:bCs/>
              </w:rPr>
              <w:t>Share</w:t>
            </w:r>
            <w:r w:rsidRPr="007530E1">
              <w:t xml:space="preserve"> progress to increase opportunities for feedback and collaboration</w:t>
            </w:r>
          </w:p>
          <w:p w14:paraId="27F1A726" w14:textId="77777777" w:rsidR="005973C9" w:rsidRPr="007530E1" w:rsidRDefault="005973C9" w:rsidP="005973C9">
            <w:pPr>
              <w:pStyle w:val="ListParagraph"/>
            </w:pPr>
            <w:r w:rsidRPr="007530E1">
              <w:t>Decide on how and with whom to sh</w:t>
            </w:r>
            <w:bookmarkStart w:id="0" w:name="_GoBack"/>
            <w:bookmarkEnd w:id="0"/>
            <w:r w:rsidRPr="007530E1">
              <w:t xml:space="preserve">are or promote </w:t>
            </w:r>
            <w:r w:rsidRPr="007530E1">
              <w:rPr>
                <w:b/>
                <w:bCs/>
              </w:rPr>
              <w:t>product or service</w:t>
            </w:r>
            <w:r w:rsidRPr="007530E1">
              <w:t xml:space="preserve"> and strategies</w:t>
            </w:r>
          </w:p>
          <w:p w14:paraId="7CA633CB" w14:textId="010FA59E" w:rsidR="005973C9" w:rsidRPr="007530E1" w:rsidRDefault="005973C9" w:rsidP="005973C9">
            <w:pPr>
              <w:pStyle w:val="ListParagraph"/>
            </w:pPr>
            <w:r w:rsidRPr="007530E1">
              <w:t xml:space="preserve">Critically assess the success of their product or service plan and explain how the ideas contribute </w:t>
            </w:r>
            <w:r w:rsidR="003A2923">
              <w:br/>
            </w:r>
            <w:r w:rsidRPr="007530E1">
              <w:t>to the individual, family, community, or environment</w:t>
            </w:r>
          </w:p>
          <w:p w14:paraId="3B951A78" w14:textId="0F1DEE88" w:rsidR="00F13713" w:rsidRPr="002B0409" w:rsidRDefault="005973C9" w:rsidP="005973C9">
            <w:pPr>
              <w:pStyle w:val="ListParagraph"/>
            </w:pPr>
            <w:r w:rsidRPr="007530E1">
              <w:t>Critically reflect on their processes and ability to work effectively, both individually and collaboratively, including their ability to share and maintain an efficient co-operative workspace</w:t>
            </w:r>
          </w:p>
          <w:p w14:paraId="622551C5" w14:textId="77777777" w:rsidR="00F13713" w:rsidRPr="002B0409" w:rsidRDefault="00F13713" w:rsidP="00E71564">
            <w:pPr>
              <w:pStyle w:val="Topic"/>
              <w:spacing w:before="100"/>
              <w:contextualSpacing w:val="0"/>
            </w:pPr>
            <w:r w:rsidRPr="002B0409">
              <w:t>Applied Skills</w:t>
            </w:r>
          </w:p>
          <w:p w14:paraId="4FEA0916" w14:textId="50FFAA41" w:rsidR="00FA3778" w:rsidRPr="007530E1" w:rsidRDefault="00FA3778" w:rsidP="00FA3778">
            <w:pPr>
              <w:pStyle w:val="ListParagraph"/>
            </w:pPr>
            <w:r w:rsidRPr="007530E1">
              <w:t xml:space="preserve">Apply precautionary, safe, and supportive interpersonal strategies and communications, </w:t>
            </w:r>
            <w:r w:rsidR="00A04D33">
              <w:br/>
            </w:r>
            <w:r w:rsidRPr="007530E1">
              <w:t>both face-to-face and</w:t>
            </w:r>
            <w:r w:rsidRPr="007530E1">
              <w:rPr>
                <w:color w:val="FF0000"/>
              </w:rPr>
              <w:t xml:space="preserve"> </w:t>
            </w:r>
            <w:r w:rsidRPr="007530E1">
              <w:t>digital</w:t>
            </w:r>
          </w:p>
          <w:p w14:paraId="606B7552" w14:textId="77777777" w:rsidR="00FA3778" w:rsidRPr="007530E1" w:rsidRDefault="00FA3778" w:rsidP="00FA3778">
            <w:pPr>
              <w:pStyle w:val="ListParagraph"/>
            </w:pPr>
            <w:r w:rsidRPr="007530E1">
              <w:t>Identify and assess the skills needed, individually or collaboratively, in relation to projects, and develop plans to refine them over time</w:t>
            </w:r>
          </w:p>
          <w:p w14:paraId="1580ACF3" w14:textId="50515954" w:rsidR="00FA3778" w:rsidRPr="007530E1" w:rsidRDefault="00FA3778" w:rsidP="00FA3778">
            <w:pPr>
              <w:pStyle w:val="ListParagraph"/>
            </w:pPr>
            <w:r w:rsidRPr="007530E1">
              <w:t>Critically reflect on</w:t>
            </w:r>
            <w:r w:rsidRPr="007530E1">
              <w:rPr>
                <w:bCs/>
              </w:rPr>
              <w:t xml:space="preserve"> cultural sensitivity and etiquette skills, </w:t>
            </w:r>
            <w:r w:rsidRPr="007530E1">
              <w:t xml:space="preserve">and develop specific plans to learn </w:t>
            </w:r>
            <w:r w:rsidR="003A2923">
              <w:br/>
            </w:r>
            <w:r w:rsidRPr="007530E1">
              <w:t>or refine them over time</w:t>
            </w:r>
          </w:p>
          <w:p w14:paraId="45EA9ADE" w14:textId="047797CF" w:rsidR="00707ADF" w:rsidRPr="00246224" w:rsidRDefault="00FA3778" w:rsidP="00FA3778">
            <w:pPr>
              <w:pStyle w:val="ListParagraph"/>
              <w:rPr>
                <w:b/>
              </w:rPr>
            </w:pPr>
            <w:r w:rsidRPr="007530E1">
              <w:t xml:space="preserve">Apply audience-appropriate </w:t>
            </w:r>
            <w:r w:rsidRPr="007530E1">
              <w:rPr>
                <w:b/>
                <w:bCs/>
              </w:rPr>
              <w:t>interviewing and consultation etiquette</w:t>
            </w:r>
          </w:p>
          <w:p w14:paraId="54441522" w14:textId="77777777" w:rsidR="00246224" w:rsidRPr="002B0409" w:rsidRDefault="00246224" w:rsidP="00E71564">
            <w:pPr>
              <w:pStyle w:val="Topic"/>
              <w:spacing w:before="100"/>
              <w:contextualSpacing w:val="0"/>
            </w:pPr>
            <w:r w:rsidRPr="002B0409">
              <w:t>Applied Technologies</w:t>
            </w:r>
          </w:p>
          <w:p w14:paraId="5407F0E2" w14:textId="77777777" w:rsidR="00FA3778" w:rsidRPr="007530E1" w:rsidRDefault="00FA3778" w:rsidP="00FA3778">
            <w:pPr>
              <w:pStyle w:val="ListParagraph"/>
            </w:pPr>
            <w:r w:rsidRPr="007530E1">
              <w:t xml:space="preserve">Explore existing, new, and emerging tools and </w:t>
            </w:r>
            <w:r w:rsidRPr="007530E1">
              <w:rPr>
                <w:b/>
                <w:bCs/>
              </w:rPr>
              <w:t xml:space="preserve">technologies </w:t>
            </w:r>
            <w:r w:rsidRPr="007530E1">
              <w:t>and evaluate suitability for design interests</w:t>
            </w:r>
          </w:p>
          <w:p w14:paraId="4FB0F235" w14:textId="77777777" w:rsidR="00FA3778" w:rsidRPr="007530E1" w:rsidRDefault="00FA3778" w:rsidP="00FA3778">
            <w:pPr>
              <w:pStyle w:val="ListParagraph"/>
            </w:pPr>
            <w:r w:rsidRPr="007530E1">
              <w:t>Evaluate impacts, including unintended negative consequences, of choices made about technology use</w:t>
            </w:r>
          </w:p>
          <w:p w14:paraId="5248A881" w14:textId="77777777" w:rsidR="00FA3778" w:rsidRPr="007530E1" w:rsidRDefault="00FA3778" w:rsidP="00FA3778">
            <w:pPr>
              <w:pStyle w:val="ListParagraph"/>
            </w:pPr>
            <w:r w:rsidRPr="007530E1">
              <w:t>Analyze the role technologies play in societal change and interpersonal communications</w:t>
            </w:r>
          </w:p>
          <w:p w14:paraId="287E313D" w14:textId="4875411E" w:rsidR="00246224" w:rsidRPr="002B0409" w:rsidRDefault="00FA3778" w:rsidP="003A2923">
            <w:pPr>
              <w:pStyle w:val="ListParagraph"/>
              <w:spacing w:after="120"/>
              <w:rPr>
                <w:b/>
              </w:rPr>
            </w:pPr>
            <w:r w:rsidRPr="007530E1">
              <w:t>Examine how cultural beliefs, values, and ethical positions affect the development and use of technologies</w:t>
            </w:r>
          </w:p>
        </w:tc>
        <w:tc>
          <w:tcPr>
            <w:tcW w:w="1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445F147" w:rsidR="0018557D" w:rsidRPr="002B0409" w:rsidRDefault="0018557D" w:rsidP="00CA7E66">
            <w:pPr>
              <w:spacing w:before="120"/>
            </w:pPr>
          </w:p>
        </w:tc>
      </w:tr>
    </w:tbl>
    <w:p w14:paraId="60F5DD65" w14:textId="387CCA30" w:rsidR="00F13713" w:rsidRPr="00E71564" w:rsidRDefault="00F13713" w:rsidP="00E7156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rFonts w:ascii="Arial" w:hAnsi="Arial"/>
          <w:b/>
          <w:sz w:val="4"/>
          <w:szCs w:val="4"/>
        </w:rPr>
      </w:pPr>
      <w:r w:rsidRPr="00E71564">
        <w:rPr>
          <w:sz w:val="4"/>
          <w:szCs w:val="4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5404E" w:rsidRPr="002B0409" w14:paraId="02C9D6B6" w14:textId="77777777" w:rsidTr="00856FE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A5AA71C" w14:textId="03B64336" w:rsidR="0085404E" w:rsidRPr="002B0409" w:rsidRDefault="0085404E" w:rsidP="007336EB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2B0409">
              <w:lastRenderedPageBreak/>
              <w:br w:type="page"/>
            </w:r>
            <w:r w:rsidRPr="002B0409">
              <w:rPr>
                <w:b/>
              </w:rPr>
              <w:tab/>
            </w:r>
            <w:r w:rsidRPr="002B0409">
              <w:rPr>
                <w:b/>
                <w:szCs w:val="22"/>
              </w:rPr>
              <w:t xml:space="preserve">APPLIED DESIGN, SKILLS, AND TECHNOLOGIES – </w:t>
            </w:r>
            <w:r w:rsidR="00897325" w:rsidRPr="00897325">
              <w:rPr>
                <w:b/>
                <w:szCs w:val="22"/>
                <w:lang w:val="en-CA"/>
              </w:rPr>
              <w:t>Interpersonal and Family Relationships</w:t>
            </w:r>
            <w:r w:rsidRPr="002B0409">
              <w:rPr>
                <w:b/>
              </w:rPr>
              <w:br/>
              <w:t>Big Ideas – Elaborations</w:t>
            </w:r>
            <w:r w:rsidRPr="002B0409">
              <w:rPr>
                <w:b/>
              </w:rPr>
              <w:tab/>
            </w:r>
            <w:r w:rsidRPr="002B0409">
              <w:rPr>
                <w:b/>
                <w:szCs w:val="22"/>
              </w:rPr>
              <w:t>Grade 11</w:t>
            </w:r>
          </w:p>
        </w:tc>
      </w:tr>
      <w:tr w:rsidR="00F13713" w:rsidRPr="002B0409" w14:paraId="42EE2CB9" w14:textId="77777777" w:rsidTr="00856FE4">
        <w:tc>
          <w:tcPr>
            <w:tcW w:w="5000" w:type="pct"/>
            <w:shd w:val="clear" w:color="auto" w:fill="F3F3F3"/>
          </w:tcPr>
          <w:p w14:paraId="143EA936" w14:textId="6F7611D9" w:rsidR="00F13713" w:rsidRPr="002B0409" w:rsidRDefault="000D7BC6" w:rsidP="007336EB">
            <w:pPr>
              <w:pStyle w:val="ListParagraph"/>
              <w:spacing w:before="120" w:after="120"/>
            </w:pPr>
            <w:r w:rsidRPr="007530E1">
              <w:rPr>
                <w:b/>
                <w:bCs/>
                <w:color w:val="000000"/>
                <w:lang w:val="en-US"/>
              </w:rPr>
              <w:t>Service design:</w:t>
            </w:r>
            <w:r w:rsidRPr="007530E1">
              <w:rPr>
                <w:bCs/>
                <w:color w:val="000000"/>
                <w:lang w:val="en-US"/>
              </w:rPr>
              <w:t xml:space="preserve"> a </w:t>
            </w:r>
            <w:r w:rsidRPr="007530E1">
              <w:rPr>
                <w:color w:val="000000"/>
                <w:lang w:val="en-US"/>
              </w:rPr>
              <w:t>human-centred approach that may include creating services to address social challenges</w:t>
            </w:r>
          </w:p>
        </w:tc>
      </w:tr>
    </w:tbl>
    <w:p w14:paraId="46369737" w14:textId="77777777" w:rsidR="0085404E" w:rsidRPr="002B0409" w:rsidRDefault="0085404E" w:rsidP="007336EB"/>
    <w:p w14:paraId="3B77B4AA" w14:textId="77777777" w:rsidR="0085404E" w:rsidRPr="002B0409" w:rsidRDefault="0085404E" w:rsidP="007336EB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2B0409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53853E22" w:rsidR="00F9586F" w:rsidRPr="002B0409" w:rsidRDefault="0059376F" w:rsidP="007336EB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2B0409">
              <w:rPr>
                <w:b/>
              </w:rPr>
              <w:tab/>
            </w:r>
            <w:r w:rsidR="000003A0" w:rsidRPr="002B0409">
              <w:rPr>
                <w:b/>
                <w:szCs w:val="22"/>
              </w:rPr>
              <w:t>A</w:t>
            </w:r>
            <w:r w:rsidR="00F82197" w:rsidRPr="002B0409">
              <w:rPr>
                <w:b/>
                <w:szCs w:val="22"/>
              </w:rPr>
              <w:t>PPLIED DESIGN, SKILLS, AND TECHNOLOGIES</w:t>
            </w:r>
            <w:r w:rsidR="00D8654A" w:rsidRPr="002B0409">
              <w:rPr>
                <w:b/>
                <w:szCs w:val="22"/>
              </w:rPr>
              <w:t xml:space="preserve"> – </w:t>
            </w:r>
            <w:r w:rsidR="00897325" w:rsidRPr="00897325">
              <w:rPr>
                <w:b/>
                <w:szCs w:val="22"/>
                <w:lang w:val="en-CA"/>
              </w:rPr>
              <w:t>Interpersonal and Family Relationships</w:t>
            </w:r>
            <w:r w:rsidRPr="002B0409">
              <w:rPr>
                <w:b/>
              </w:rPr>
              <w:br/>
              <w:t>Curricular Competencies – Elaborations</w:t>
            </w:r>
            <w:r w:rsidRPr="002B0409">
              <w:rPr>
                <w:b/>
              </w:rPr>
              <w:tab/>
            </w:r>
            <w:r w:rsidRPr="002B0409">
              <w:rPr>
                <w:b/>
                <w:szCs w:val="22"/>
              </w:rPr>
              <w:t xml:space="preserve">Grade </w:t>
            </w:r>
            <w:r w:rsidR="00E80591" w:rsidRPr="002B0409">
              <w:rPr>
                <w:b/>
                <w:szCs w:val="22"/>
              </w:rPr>
              <w:t>1</w:t>
            </w:r>
            <w:r w:rsidR="00EC7D5D" w:rsidRPr="002B0409">
              <w:rPr>
                <w:b/>
                <w:szCs w:val="22"/>
              </w:rPr>
              <w:t>1</w:t>
            </w:r>
          </w:p>
        </w:tc>
      </w:tr>
      <w:tr w:rsidR="00770B0C" w:rsidRPr="002B0409" w14:paraId="7FE64FEB" w14:textId="77777777">
        <w:tc>
          <w:tcPr>
            <w:tcW w:w="5000" w:type="pct"/>
            <w:shd w:val="clear" w:color="auto" w:fill="F3F3F3"/>
          </w:tcPr>
          <w:p w14:paraId="53C53767" w14:textId="77777777" w:rsidR="00562CC5" w:rsidRPr="007530E1" w:rsidRDefault="00562CC5" w:rsidP="00562CC5">
            <w:pPr>
              <w:pStyle w:val="ListParagraph"/>
              <w:spacing w:before="120"/>
            </w:pPr>
            <w:r w:rsidRPr="007530E1">
              <w:rPr>
                <w:b/>
                <w:bCs/>
              </w:rPr>
              <w:t>research:</w:t>
            </w:r>
            <w:r w:rsidRPr="007530E1">
              <w:t xml:space="preserve"> seeking knowledge from other people as experts, interviewing people involved,</w:t>
            </w:r>
            <w:r w:rsidRPr="007530E1">
              <w:rPr>
                <w:color w:val="FF0000"/>
              </w:rPr>
              <w:t xml:space="preserve"> </w:t>
            </w:r>
            <w:r w:rsidRPr="007530E1">
              <w:rPr>
                <w:color w:val="000000" w:themeColor="text1"/>
              </w:rPr>
              <w:t>finding</w:t>
            </w:r>
            <w:r w:rsidRPr="007530E1">
              <w:rPr>
                <w:color w:val="FF0000"/>
              </w:rPr>
              <w:t xml:space="preserve"> </w:t>
            </w:r>
            <w:r w:rsidRPr="007530E1">
              <w:t xml:space="preserve">secondary sources and collective pools of knowledge in communities and collaborative atmospheres, learning the appropriate protocols for approaching local First Peoples communities </w:t>
            </w:r>
          </w:p>
          <w:p w14:paraId="4FEB43CF" w14:textId="77777777" w:rsidR="00562CC5" w:rsidRPr="007530E1" w:rsidRDefault="00562CC5" w:rsidP="00562CC5">
            <w:pPr>
              <w:pStyle w:val="ListParagraph"/>
            </w:pPr>
            <w:r w:rsidRPr="007530E1">
              <w:rPr>
                <w:b/>
                <w:bCs/>
              </w:rPr>
              <w:t>empathetic observation:</w:t>
            </w:r>
            <w:r w:rsidRPr="007530E1">
              <w:t xml:space="preserve"> aimed at understanding the values and beliefs of other cultures and the diverse motivations and needs of different people; may be informed by experiences of people involved; traditional cultural knowledge and approaches; First Peoples worldviews, perspectives, knowledge, and practices; places, including the land and its natural resources and analogous settings; experts and thought leaders</w:t>
            </w:r>
          </w:p>
          <w:p w14:paraId="0F95416E" w14:textId="77777777" w:rsidR="00562CC5" w:rsidRPr="007530E1" w:rsidRDefault="00562CC5" w:rsidP="00562CC5">
            <w:pPr>
              <w:pStyle w:val="ListParagraph"/>
            </w:pPr>
            <w:r w:rsidRPr="007530E1">
              <w:rPr>
                <w:b/>
                <w:bCs/>
              </w:rPr>
              <w:t>valued impact:</w:t>
            </w:r>
            <w:r w:rsidRPr="007530E1">
              <w:rPr>
                <w:bCs/>
              </w:rPr>
              <w:t xml:space="preserve"> </w:t>
            </w:r>
            <w:r w:rsidRPr="007530E1">
              <w:t>Service designs should be based on what the people involved are hoping for, so their input is needed.</w:t>
            </w:r>
          </w:p>
          <w:p w14:paraId="6BFBDBA5" w14:textId="77777777" w:rsidR="00562CC5" w:rsidRPr="007530E1" w:rsidRDefault="00562CC5" w:rsidP="00562CC5">
            <w:pPr>
              <w:pStyle w:val="ListParagraph"/>
            </w:pPr>
            <w:r w:rsidRPr="007530E1">
              <w:rPr>
                <w:b/>
                <w:bCs/>
              </w:rPr>
              <w:t>constraints:</w:t>
            </w:r>
            <w:r w:rsidRPr="007530E1">
              <w:t xml:space="preserve"> limiting factors, such as the nature of family dynamics and interpersonal communications, expense, environmental impact</w:t>
            </w:r>
          </w:p>
          <w:p w14:paraId="38263C1B" w14:textId="77777777" w:rsidR="00562CC5" w:rsidRPr="007530E1" w:rsidRDefault="00562CC5" w:rsidP="00562CC5">
            <w:pPr>
              <w:pStyle w:val="ListParagraph"/>
            </w:pPr>
            <w:r w:rsidRPr="007530E1">
              <w:rPr>
                <w:b/>
                <w:bCs/>
              </w:rPr>
              <w:t>competing factors:</w:t>
            </w:r>
            <w:r w:rsidRPr="007530E1">
              <w:t xml:space="preserve"> social, ethical, and sustainable</w:t>
            </w:r>
          </w:p>
          <w:p w14:paraId="2DDCB8B1" w14:textId="77777777" w:rsidR="00562CC5" w:rsidRPr="007530E1" w:rsidRDefault="00562CC5" w:rsidP="00562CC5">
            <w:pPr>
              <w:pStyle w:val="ListParagraph"/>
            </w:pPr>
            <w:r w:rsidRPr="007530E1">
              <w:rPr>
                <w:b/>
              </w:rPr>
              <w:t>sources of inspiration:</w:t>
            </w:r>
            <w:r w:rsidRPr="007530E1">
              <w:t xml:space="preserve"> may include personal experiences, exploration of First Peoples perspectives and knowledge, the natural environment, places, cultural influences, social media, professionals</w:t>
            </w:r>
          </w:p>
          <w:p w14:paraId="07A632D3" w14:textId="4BAA3A5E" w:rsidR="00562CC5" w:rsidRPr="007530E1" w:rsidRDefault="00562CC5" w:rsidP="00562CC5">
            <w:pPr>
              <w:pStyle w:val="ListParagraph"/>
            </w:pPr>
            <w:r w:rsidRPr="007530E1">
              <w:rPr>
                <w:b/>
                <w:bCs/>
              </w:rPr>
              <w:t>information</w:t>
            </w:r>
            <w:r w:rsidRPr="007530E1">
              <w:rPr>
                <w:b/>
              </w:rPr>
              <w:t>:</w:t>
            </w:r>
            <w:r w:rsidRPr="007530E1">
              <w:t xml:space="preserve"> for example, professionals; First Nations, Métis, or Inuit community experts; secondary sources; collective pools of knowledge</w:t>
            </w:r>
            <w:r>
              <w:br/>
            </w:r>
            <w:r w:rsidRPr="007530E1">
              <w:t>in communities and collaborative atmospheres (such as family structures and cohorts)</w:t>
            </w:r>
          </w:p>
          <w:p w14:paraId="0DF877EF" w14:textId="77777777" w:rsidR="00562CC5" w:rsidRPr="007530E1" w:rsidRDefault="00562CC5" w:rsidP="00562CC5">
            <w:pPr>
              <w:pStyle w:val="ListParagraph"/>
            </w:pPr>
            <w:r w:rsidRPr="007530E1">
              <w:rPr>
                <w:b/>
                <w:bCs/>
              </w:rPr>
              <w:t>service plan:</w:t>
            </w:r>
            <w:r w:rsidRPr="007530E1">
              <w:rPr>
                <w:bCs/>
              </w:rPr>
              <w:t xml:space="preserve"> The</w:t>
            </w:r>
            <w:r w:rsidRPr="007530E1">
              <w:t xml:space="preserve"> primary purpose is to determine and provide or produce beneficial services</w:t>
            </w:r>
            <w:r w:rsidRPr="007530E1">
              <w:rPr>
                <w:bCs/>
              </w:rPr>
              <w:t xml:space="preserve"> </w:t>
            </w:r>
            <w:r w:rsidRPr="007530E1">
              <w:t>for individuals, families, or groups.</w:t>
            </w:r>
          </w:p>
          <w:p w14:paraId="101DD6E8" w14:textId="77777777" w:rsidR="00562CC5" w:rsidRPr="007530E1" w:rsidRDefault="00562CC5" w:rsidP="00562CC5">
            <w:pPr>
              <w:pStyle w:val="ListParagraph"/>
            </w:pPr>
            <w:r w:rsidRPr="007530E1">
              <w:rPr>
                <w:b/>
                <w:bCs/>
              </w:rPr>
              <w:t xml:space="preserve">impacts: </w:t>
            </w:r>
            <w:r w:rsidRPr="007530E1">
              <w:t>social, cultural, financial</w:t>
            </w:r>
          </w:p>
          <w:p w14:paraId="63CA35E8" w14:textId="5C8E0402" w:rsidR="00562CC5" w:rsidRPr="007530E1" w:rsidRDefault="00562CC5" w:rsidP="00562CC5">
            <w:pPr>
              <w:pStyle w:val="ListParagraph"/>
            </w:pPr>
            <w:r w:rsidRPr="007530E1">
              <w:rPr>
                <w:b/>
              </w:rPr>
              <w:t xml:space="preserve">sources of feedback: </w:t>
            </w:r>
            <w:r w:rsidRPr="007530E1">
              <w:t xml:space="preserve">may include people involved; First Nations, Métis, or Inuit community members; keepers of other traditional cultural </w:t>
            </w:r>
            <w:r>
              <w:br/>
            </w:r>
            <w:r w:rsidRPr="007530E1">
              <w:t xml:space="preserve">knowledge and approaches; peers and professionals </w:t>
            </w:r>
          </w:p>
          <w:p w14:paraId="5F82E4E3" w14:textId="77777777" w:rsidR="00562CC5" w:rsidRPr="007530E1" w:rsidRDefault="00562CC5" w:rsidP="00562CC5">
            <w:pPr>
              <w:pStyle w:val="ListParagraph"/>
            </w:pPr>
            <w:r w:rsidRPr="007530E1">
              <w:rPr>
                <w:b/>
                <w:bCs/>
              </w:rPr>
              <w:t>appropriate strategies</w:t>
            </w:r>
            <w:r w:rsidRPr="007530E1">
              <w:rPr>
                <w:b/>
              </w:rPr>
              <w:t>:</w:t>
            </w:r>
            <w:r w:rsidRPr="007530E1">
              <w:t xml:space="preserve"> considering others’ perspectives, ethical issues, and cultural factors </w:t>
            </w:r>
          </w:p>
          <w:p w14:paraId="3B93CFFA" w14:textId="77777777" w:rsidR="00562CC5" w:rsidRPr="007530E1" w:rsidRDefault="00562CC5" w:rsidP="00562CC5">
            <w:pPr>
              <w:pStyle w:val="ListParagraph"/>
            </w:pPr>
            <w:r w:rsidRPr="007530E1">
              <w:rPr>
                <w:b/>
                <w:bCs/>
              </w:rPr>
              <w:t>project management processes:</w:t>
            </w:r>
            <w:r w:rsidRPr="007530E1">
              <w:rPr>
                <w:bCs/>
              </w:rPr>
              <w:t xml:space="preserve"> </w:t>
            </w:r>
            <w:r w:rsidRPr="007530E1">
              <w:t xml:space="preserve">setting goals, planning, organizing, constructing, monitoring, and leading during project execution </w:t>
            </w:r>
          </w:p>
          <w:p w14:paraId="309E78CC" w14:textId="77777777" w:rsidR="00562CC5" w:rsidRPr="007530E1" w:rsidRDefault="00562CC5" w:rsidP="00562CC5">
            <w:pPr>
              <w:pStyle w:val="ListParagraph"/>
            </w:pPr>
            <w:r w:rsidRPr="007530E1">
              <w:rPr>
                <w:b/>
                <w:bCs/>
              </w:rPr>
              <w:t>Share:</w:t>
            </w:r>
            <w:r w:rsidRPr="007530E1">
              <w:t xml:space="preserve"> may include showing to others or use by others</w:t>
            </w:r>
          </w:p>
          <w:p w14:paraId="4A8CEED1" w14:textId="77777777" w:rsidR="00562CC5" w:rsidRPr="007530E1" w:rsidRDefault="00562CC5" w:rsidP="00562CC5">
            <w:pPr>
              <w:pStyle w:val="ListParagraph"/>
            </w:pPr>
            <w:r w:rsidRPr="007530E1">
              <w:rPr>
                <w:b/>
                <w:bCs/>
              </w:rPr>
              <w:t xml:space="preserve">product or service: </w:t>
            </w:r>
            <w:r w:rsidRPr="007530E1">
              <w:t>physical product or supportive process, system, assistance, environment</w:t>
            </w:r>
          </w:p>
          <w:p w14:paraId="1BB2B76C" w14:textId="4F3CB517" w:rsidR="00562CC5" w:rsidRPr="007530E1" w:rsidRDefault="00562CC5" w:rsidP="00562CC5">
            <w:pPr>
              <w:pStyle w:val="ListParagraph"/>
            </w:pPr>
            <w:r w:rsidRPr="007530E1">
              <w:rPr>
                <w:b/>
                <w:bCs/>
              </w:rPr>
              <w:t>interviewing and consultation etiquette:</w:t>
            </w:r>
            <w:r w:rsidRPr="007530E1">
              <w:t xml:space="preserve"> protocols for requesting and conducting interviews, including consideration of confidentiality, tone, </w:t>
            </w:r>
            <w:r>
              <w:br/>
            </w:r>
            <w:r w:rsidRPr="007530E1">
              <w:t>and informed consent; may require knowledge of cultural protocols, such as that of local First Peoples or recent immigrant communities</w:t>
            </w:r>
          </w:p>
          <w:p w14:paraId="376A30FE" w14:textId="32336880" w:rsidR="00770B0C" w:rsidRPr="002B0409" w:rsidRDefault="00562CC5" w:rsidP="00562CC5">
            <w:pPr>
              <w:pStyle w:val="ListParagraph"/>
              <w:spacing w:after="120"/>
            </w:pPr>
            <w:r w:rsidRPr="007530E1">
              <w:rPr>
                <w:b/>
                <w:bCs/>
              </w:rPr>
              <w:t>technologies:</w:t>
            </w:r>
            <w:r w:rsidRPr="007530E1">
              <w:t xml:space="preserve"> tools that extend human capabilities</w:t>
            </w:r>
          </w:p>
        </w:tc>
      </w:tr>
    </w:tbl>
    <w:p w14:paraId="4194EDCC" w14:textId="77777777" w:rsidR="00F9586F" w:rsidRPr="002B0409" w:rsidRDefault="00F9586F" w:rsidP="007336EB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2B0409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E297B61" w:rsidR="00F9586F" w:rsidRPr="002B0409" w:rsidRDefault="0059376F" w:rsidP="007336EB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2B0409">
              <w:rPr>
                <w:b/>
                <w:color w:val="FFFFFF" w:themeColor="background1"/>
              </w:rPr>
              <w:lastRenderedPageBreak/>
              <w:tab/>
            </w:r>
            <w:r w:rsidR="000003A0" w:rsidRPr="002B0409">
              <w:rPr>
                <w:b/>
                <w:color w:val="FFFFFF" w:themeColor="background1"/>
                <w:szCs w:val="22"/>
              </w:rPr>
              <w:t>A</w:t>
            </w:r>
            <w:r w:rsidR="00F82197" w:rsidRPr="002B0409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897325" w:rsidRPr="00897325">
              <w:rPr>
                <w:b/>
                <w:color w:val="FFFFFF" w:themeColor="background1"/>
                <w:szCs w:val="22"/>
                <w:lang w:val="en-CA"/>
              </w:rPr>
              <w:t>Interpersonal and Family Relationships</w:t>
            </w:r>
            <w:r w:rsidRPr="002B0409">
              <w:rPr>
                <w:b/>
                <w:color w:val="FFFFFF" w:themeColor="background1"/>
              </w:rPr>
              <w:br/>
              <w:t>Content – Elaborations</w:t>
            </w:r>
            <w:r w:rsidRPr="002B0409">
              <w:rPr>
                <w:b/>
                <w:color w:val="FFFFFF" w:themeColor="background1"/>
              </w:rPr>
              <w:tab/>
            </w:r>
            <w:r w:rsidRPr="002B0409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2B0409">
              <w:rPr>
                <w:b/>
                <w:color w:val="FFFFFF" w:themeColor="background1"/>
                <w:szCs w:val="22"/>
              </w:rPr>
              <w:t>1</w:t>
            </w:r>
            <w:r w:rsidR="00EC7D5D" w:rsidRPr="002B0409">
              <w:rPr>
                <w:b/>
                <w:color w:val="FFFFFF" w:themeColor="background1"/>
                <w:szCs w:val="22"/>
              </w:rPr>
              <w:t>1</w:t>
            </w:r>
          </w:p>
        </w:tc>
      </w:tr>
      <w:tr w:rsidR="00F9586F" w:rsidRPr="002B0409" w14:paraId="7A2216BF" w14:textId="77777777">
        <w:tc>
          <w:tcPr>
            <w:tcW w:w="5000" w:type="pct"/>
            <w:shd w:val="clear" w:color="auto" w:fill="F3F3F3"/>
          </w:tcPr>
          <w:p w14:paraId="2821F613" w14:textId="77777777" w:rsidR="007352D4" w:rsidRPr="007530E1" w:rsidRDefault="007352D4" w:rsidP="007352D4">
            <w:pPr>
              <w:pStyle w:val="ListParagraph"/>
              <w:spacing w:before="120"/>
            </w:pPr>
            <w:r w:rsidRPr="007530E1">
              <w:rPr>
                <w:b/>
                <w:bCs/>
              </w:rPr>
              <w:t xml:space="preserve">service design opportunities: </w:t>
            </w:r>
            <w:r w:rsidRPr="007530E1">
              <w:t>for example, creating policies, resources, programs, activities, designed environments, physical products, or services</w:t>
            </w:r>
          </w:p>
          <w:p w14:paraId="39E9ED3A" w14:textId="77777777" w:rsidR="007352D4" w:rsidRPr="007530E1" w:rsidRDefault="007352D4" w:rsidP="007352D4">
            <w:pPr>
              <w:pStyle w:val="ListParagraph"/>
            </w:pPr>
            <w:r w:rsidRPr="007530E1">
              <w:rPr>
                <w:b/>
                <w:bCs/>
              </w:rPr>
              <w:t>interpersonal relationships:</w:t>
            </w:r>
            <w:r w:rsidRPr="007530E1">
              <w:t xml:space="preserve"> including social, family, romantic, workplace, and community</w:t>
            </w:r>
          </w:p>
          <w:p w14:paraId="5E3E97FF" w14:textId="77777777" w:rsidR="007352D4" w:rsidRPr="007530E1" w:rsidRDefault="007352D4" w:rsidP="007352D4">
            <w:pPr>
              <w:pStyle w:val="ListParagraph"/>
            </w:pPr>
            <w:r w:rsidRPr="007530E1">
              <w:rPr>
                <w:b/>
                <w:bCs/>
              </w:rPr>
              <w:t>types:</w:t>
            </w:r>
            <w:r w:rsidRPr="007530E1">
              <w:t xml:space="preserve"> familial, friendship, personal, professional, intimate, romantic, sexual</w:t>
            </w:r>
          </w:p>
          <w:p w14:paraId="2259E7E2" w14:textId="2A7899F1" w:rsidR="007352D4" w:rsidRPr="007530E1" w:rsidRDefault="007352D4" w:rsidP="007352D4">
            <w:pPr>
              <w:pStyle w:val="ListParagraph"/>
            </w:pPr>
            <w:r w:rsidRPr="007530E1">
              <w:rPr>
                <w:b/>
              </w:rPr>
              <w:t>nature of committed relationships:</w:t>
            </w:r>
            <w:r w:rsidRPr="007530E1">
              <w:t xml:space="preserve"> may include indicators of readiness for a committed relationship, legal status and requirements, </w:t>
            </w:r>
            <w:r>
              <w:br/>
            </w:r>
            <w:r w:rsidRPr="007530E1">
              <w:t>differences between marriage and a common-law relationship, financial implications</w:t>
            </w:r>
          </w:p>
          <w:p w14:paraId="6E217F33" w14:textId="77777777" w:rsidR="007352D4" w:rsidRPr="007530E1" w:rsidRDefault="007352D4" w:rsidP="007352D4">
            <w:pPr>
              <w:pStyle w:val="ListParagraphwithsub-bullets"/>
            </w:pPr>
            <w:r w:rsidRPr="007352D4">
              <w:rPr>
                <w:b/>
              </w:rPr>
              <w:t xml:space="preserve">influences of </w:t>
            </w:r>
            <w:r w:rsidRPr="007352D4">
              <w:rPr>
                <w:b/>
                <w:bCs/>
              </w:rPr>
              <w:t>community and culture:</w:t>
            </w:r>
            <w:r w:rsidRPr="007352D4">
              <w:rPr>
                <w:b/>
              </w:rPr>
              <w:t xml:space="preserve"> </w:t>
            </w:r>
            <w:r w:rsidRPr="007530E1">
              <w:t xml:space="preserve">for example: </w:t>
            </w:r>
          </w:p>
          <w:p w14:paraId="1619A6EA" w14:textId="77777777" w:rsidR="007352D4" w:rsidRPr="007530E1" w:rsidRDefault="007352D4" w:rsidP="007352D4">
            <w:pPr>
              <w:pStyle w:val="ListParagraphindent"/>
            </w:pPr>
            <w:r w:rsidRPr="007530E1">
              <w:t>religious beliefs and cultural expectations</w:t>
            </w:r>
          </w:p>
          <w:p w14:paraId="71251B53" w14:textId="77777777" w:rsidR="007352D4" w:rsidRPr="007530E1" w:rsidRDefault="007352D4" w:rsidP="007352D4">
            <w:pPr>
              <w:pStyle w:val="ListParagraphindent"/>
            </w:pPr>
            <w:r w:rsidRPr="007530E1">
              <w:t xml:space="preserve">regulations and laws </w:t>
            </w:r>
          </w:p>
          <w:p w14:paraId="37962176" w14:textId="77777777" w:rsidR="007352D4" w:rsidRPr="007530E1" w:rsidRDefault="007352D4" w:rsidP="007352D4">
            <w:pPr>
              <w:pStyle w:val="ListParagraphindent"/>
            </w:pPr>
            <w:r w:rsidRPr="007530E1">
              <w:t>dating norms, arranged marriages, wedding customs, family roles</w:t>
            </w:r>
          </w:p>
          <w:p w14:paraId="158E6B56" w14:textId="77777777" w:rsidR="007352D4" w:rsidRPr="007530E1" w:rsidRDefault="007352D4" w:rsidP="007352D4">
            <w:pPr>
              <w:pStyle w:val="ListParagraphindent"/>
            </w:pPr>
            <w:r w:rsidRPr="007530E1">
              <w:t>changes in norms over time</w:t>
            </w:r>
          </w:p>
          <w:p w14:paraId="13B86FF4" w14:textId="77777777" w:rsidR="007352D4" w:rsidRPr="007530E1" w:rsidRDefault="007352D4" w:rsidP="007352D4">
            <w:pPr>
              <w:pStyle w:val="ListParagraphindent"/>
            </w:pPr>
            <w:r w:rsidRPr="007530E1">
              <w:t>kinship relationships, extended family</w:t>
            </w:r>
          </w:p>
          <w:p w14:paraId="25AB8F7A" w14:textId="77777777" w:rsidR="007352D4" w:rsidRPr="007530E1" w:rsidRDefault="007352D4" w:rsidP="007352D4">
            <w:pPr>
              <w:pStyle w:val="ListParagraphindent"/>
            </w:pPr>
            <w:r w:rsidRPr="007530E1">
              <w:t>current trends, social media</w:t>
            </w:r>
          </w:p>
          <w:p w14:paraId="41ABF8C3" w14:textId="77777777" w:rsidR="007352D4" w:rsidRPr="007530E1" w:rsidRDefault="007352D4" w:rsidP="007352D4">
            <w:pPr>
              <w:pStyle w:val="ListparagraphidentLastsub-bullet"/>
            </w:pPr>
            <w:r w:rsidRPr="007530E1">
              <w:t>representations through language, symbols, art, literature</w:t>
            </w:r>
          </w:p>
          <w:p w14:paraId="7D732894" w14:textId="77777777" w:rsidR="007352D4" w:rsidRPr="007530E1" w:rsidRDefault="007352D4" w:rsidP="007352D4">
            <w:pPr>
              <w:pStyle w:val="ListParagraph"/>
              <w:rPr>
                <w:b/>
              </w:rPr>
            </w:pPr>
            <w:r w:rsidRPr="007530E1">
              <w:rPr>
                <w:b/>
                <w:bCs/>
              </w:rPr>
              <w:t xml:space="preserve">factors involved in ending relationships: </w:t>
            </w:r>
            <w:r w:rsidRPr="007530E1">
              <w:t xml:space="preserve">implications for the individuals involved, including emotional, legal, financial, and social </w:t>
            </w:r>
          </w:p>
          <w:p w14:paraId="45E8AA81" w14:textId="77777777" w:rsidR="007352D4" w:rsidRPr="007530E1" w:rsidRDefault="007352D4" w:rsidP="007352D4">
            <w:pPr>
              <w:pStyle w:val="ListParagraph"/>
            </w:pPr>
            <w:r w:rsidRPr="007530E1">
              <w:rPr>
                <w:b/>
                <w:bCs/>
              </w:rPr>
              <w:t xml:space="preserve">healthy relationships: </w:t>
            </w:r>
            <w:r w:rsidRPr="007530E1">
              <w:t>including</w:t>
            </w:r>
            <w:r w:rsidRPr="007530E1">
              <w:rPr>
                <w:b/>
                <w:bCs/>
              </w:rPr>
              <w:t xml:space="preserve"> </w:t>
            </w:r>
            <w:r w:rsidRPr="007530E1">
              <w:t xml:space="preserve">trust, mutual support, clear limits and boundaries, humour, honesty; also consider contrasting with unhealthy relationship components, such as mistrust, jealousy, isolation, control, tension, fear </w:t>
            </w:r>
          </w:p>
          <w:p w14:paraId="09E1F0B5" w14:textId="77777777" w:rsidR="007352D4" w:rsidRPr="007530E1" w:rsidRDefault="007352D4" w:rsidP="007352D4">
            <w:pPr>
              <w:pStyle w:val="ListParagraphwithsub-bullets"/>
            </w:pPr>
            <w:r w:rsidRPr="007352D4">
              <w:rPr>
                <w:b/>
              </w:rPr>
              <w:t>communication styles and strategies</w:t>
            </w:r>
            <w:r w:rsidRPr="007352D4">
              <w:rPr>
                <w:b/>
                <w:bCs/>
              </w:rPr>
              <w:t>:</w:t>
            </w:r>
            <w:r w:rsidRPr="007530E1">
              <w:rPr>
                <w:bCs/>
              </w:rPr>
              <w:t xml:space="preserve"> </w:t>
            </w:r>
            <w:r w:rsidRPr="007530E1">
              <w:t xml:space="preserve">taking into consideration: </w:t>
            </w:r>
          </w:p>
          <w:p w14:paraId="3BDBFB10" w14:textId="77777777" w:rsidR="007352D4" w:rsidRPr="007530E1" w:rsidRDefault="007352D4" w:rsidP="007352D4">
            <w:pPr>
              <w:pStyle w:val="ListParagraphindent"/>
            </w:pPr>
            <w:r w:rsidRPr="007530E1">
              <w:t>verbal and non-verbal (body language) communication</w:t>
            </w:r>
          </w:p>
          <w:p w14:paraId="013B6E35" w14:textId="77777777" w:rsidR="007352D4" w:rsidRPr="007530E1" w:rsidRDefault="007352D4" w:rsidP="007352D4">
            <w:pPr>
              <w:pStyle w:val="ListParagraphindent"/>
            </w:pPr>
            <w:r w:rsidRPr="007530E1">
              <w:t xml:space="preserve">digital and face-to-face contexts </w:t>
            </w:r>
          </w:p>
          <w:p w14:paraId="5FFF8F1D" w14:textId="77777777" w:rsidR="007352D4" w:rsidRPr="007530E1" w:rsidRDefault="007352D4" w:rsidP="007352D4">
            <w:pPr>
              <w:pStyle w:val="ListParagraphindent"/>
            </w:pPr>
            <w:r w:rsidRPr="007530E1">
              <w:t xml:space="preserve">various audiences being addressed </w:t>
            </w:r>
          </w:p>
          <w:p w14:paraId="6A223DA6" w14:textId="77777777" w:rsidR="007352D4" w:rsidRPr="007530E1" w:rsidRDefault="007352D4" w:rsidP="007352D4">
            <w:pPr>
              <w:pStyle w:val="ListparagraphidentLastsub-bullet"/>
            </w:pPr>
            <w:r w:rsidRPr="007530E1">
              <w:t>casual social and peer group interactions versus more formal interactions</w:t>
            </w:r>
          </w:p>
          <w:p w14:paraId="4C948E40" w14:textId="5A09E5AE" w:rsidR="007352D4" w:rsidRPr="007352D4" w:rsidRDefault="007352D4" w:rsidP="007352D4">
            <w:pPr>
              <w:pStyle w:val="ListParagraph"/>
              <w:spacing w:after="120"/>
              <w:rPr>
                <w:rFonts w:cs="Cambria"/>
                <w:b/>
              </w:rPr>
            </w:pPr>
            <w:r w:rsidRPr="007530E1">
              <w:rPr>
                <w:b/>
              </w:rPr>
              <w:t>cultural appropriation:</w:t>
            </w:r>
            <w:r w:rsidRPr="007530E1">
              <w:t xml:space="preserve"> using or sharing a cultural motif, theme, “voice,” image, knowledge, story, or practice without permission, without </w:t>
            </w:r>
            <w:r>
              <w:br/>
            </w:r>
            <w:r w:rsidRPr="007530E1">
              <w:t>appropriate context, or in a way that may misrepresent the real experience of the people from whose culture it is drawn</w:t>
            </w:r>
          </w:p>
        </w:tc>
      </w:tr>
    </w:tbl>
    <w:p w14:paraId="08CF9400" w14:textId="77777777" w:rsidR="00F9586F" w:rsidRPr="002B0409" w:rsidRDefault="00F9586F" w:rsidP="007336EB">
      <w:pPr>
        <w:rPr>
          <w:sz w:val="2"/>
          <w:szCs w:val="2"/>
        </w:rPr>
      </w:pPr>
    </w:p>
    <w:sectPr w:rsidR="00F9586F" w:rsidRPr="002B040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A3896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6E9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6E9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F04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ECF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E0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1509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EECE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4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2C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1C2976"/>
    <w:multiLevelType w:val="multilevel"/>
    <w:tmpl w:val="A402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26B76892"/>
    <w:multiLevelType w:val="hybridMultilevel"/>
    <w:tmpl w:val="DF764952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611A6"/>
    <w:multiLevelType w:val="hybridMultilevel"/>
    <w:tmpl w:val="6448B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37C34"/>
    <w:multiLevelType w:val="hybridMultilevel"/>
    <w:tmpl w:val="FDF8D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5F895D24"/>
    <w:multiLevelType w:val="hybridMultilevel"/>
    <w:tmpl w:val="F4667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9"/>
  </w:num>
  <w:num w:numId="5">
    <w:abstractNumId w:val="23"/>
  </w:num>
  <w:num w:numId="6">
    <w:abstractNumId w:val="22"/>
  </w:num>
  <w:num w:numId="7">
    <w:abstractNumId w:val="12"/>
  </w:num>
  <w:num w:numId="8">
    <w:abstractNumId w:val="1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16"/>
  </w:num>
  <w:num w:numId="19">
    <w:abstractNumId w:val="14"/>
  </w:num>
  <w:num w:numId="20">
    <w:abstractNumId w:val="11"/>
  </w:num>
  <w:num w:numId="21">
    <w:abstractNumId w:val="19"/>
  </w:num>
  <w:num w:numId="22">
    <w:abstractNumId w:val="20"/>
  </w:num>
  <w:num w:numId="23">
    <w:abstractNumId w:val="15"/>
  </w:num>
  <w:num w:numId="2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19D1"/>
    <w:rsid w:val="000A3FAA"/>
    <w:rsid w:val="000B0FAD"/>
    <w:rsid w:val="000B2381"/>
    <w:rsid w:val="000D5F41"/>
    <w:rsid w:val="000D7BC6"/>
    <w:rsid w:val="000E4C78"/>
    <w:rsid w:val="000E555C"/>
    <w:rsid w:val="00102BF3"/>
    <w:rsid w:val="00123905"/>
    <w:rsid w:val="00131A66"/>
    <w:rsid w:val="00134E8F"/>
    <w:rsid w:val="0014420D"/>
    <w:rsid w:val="001444ED"/>
    <w:rsid w:val="00171DAF"/>
    <w:rsid w:val="0017582D"/>
    <w:rsid w:val="001762D3"/>
    <w:rsid w:val="001765C4"/>
    <w:rsid w:val="001837B4"/>
    <w:rsid w:val="0018557D"/>
    <w:rsid w:val="00187671"/>
    <w:rsid w:val="00190E80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6C1F"/>
    <w:rsid w:val="00235F25"/>
    <w:rsid w:val="00246224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2923"/>
    <w:rsid w:val="003A3345"/>
    <w:rsid w:val="003E3E64"/>
    <w:rsid w:val="003F1DB7"/>
    <w:rsid w:val="00400F30"/>
    <w:rsid w:val="00413BC2"/>
    <w:rsid w:val="004428B4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2CC5"/>
    <w:rsid w:val="0056669F"/>
    <w:rsid w:val="00567385"/>
    <w:rsid w:val="0059376F"/>
    <w:rsid w:val="005973C9"/>
    <w:rsid w:val="005A2812"/>
    <w:rsid w:val="005A5B8A"/>
    <w:rsid w:val="005B496A"/>
    <w:rsid w:val="005C0C77"/>
    <w:rsid w:val="005C787D"/>
    <w:rsid w:val="005E0FCC"/>
    <w:rsid w:val="005F4985"/>
    <w:rsid w:val="00607C26"/>
    <w:rsid w:val="006109F9"/>
    <w:rsid w:val="00620D38"/>
    <w:rsid w:val="006211F9"/>
    <w:rsid w:val="0063518F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36EB"/>
    <w:rsid w:val="007352D4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5866"/>
    <w:rsid w:val="007F6181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97325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A3896"/>
    <w:rsid w:val="009E4B98"/>
    <w:rsid w:val="009E6E14"/>
    <w:rsid w:val="009F4B7F"/>
    <w:rsid w:val="00A04D33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C6294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A7E66"/>
    <w:rsid w:val="00D0261C"/>
    <w:rsid w:val="00D0439A"/>
    <w:rsid w:val="00D120A1"/>
    <w:rsid w:val="00D17CFE"/>
    <w:rsid w:val="00D41F6E"/>
    <w:rsid w:val="00D4637F"/>
    <w:rsid w:val="00D64299"/>
    <w:rsid w:val="00D65F87"/>
    <w:rsid w:val="00D73426"/>
    <w:rsid w:val="00D735D9"/>
    <w:rsid w:val="00D8654A"/>
    <w:rsid w:val="00DA568D"/>
    <w:rsid w:val="00DA79C0"/>
    <w:rsid w:val="00DB400E"/>
    <w:rsid w:val="00DC1DA5"/>
    <w:rsid w:val="00DC2C4B"/>
    <w:rsid w:val="00DD1C77"/>
    <w:rsid w:val="00E13917"/>
    <w:rsid w:val="00E2444A"/>
    <w:rsid w:val="00E71564"/>
    <w:rsid w:val="00E80591"/>
    <w:rsid w:val="00E834AB"/>
    <w:rsid w:val="00E842D8"/>
    <w:rsid w:val="00E87A9D"/>
    <w:rsid w:val="00EA2024"/>
    <w:rsid w:val="00EA565D"/>
    <w:rsid w:val="00EB02D9"/>
    <w:rsid w:val="00EC0A3E"/>
    <w:rsid w:val="00EC23B7"/>
    <w:rsid w:val="00EC7D5D"/>
    <w:rsid w:val="00ED6CC1"/>
    <w:rsid w:val="00EE1752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3778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36EB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7336EB"/>
    <w:pPr>
      <w:widowControl w:val="0"/>
      <w:spacing w:before="120" w:after="60"/>
      <w:ind w:left="220"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ListParagraphwithsub-bullets">
    <w:name w:val="List Paragraph with sub-bullets"/>
    <w:basedOn w:val="ListParagraph"/>
    <w:qFormat/>
    <w:rsid w:val="0063518F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63518F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0448-F324-1F4A-B037-A44F0C2A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1112</Words>
  <Characters>7625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8720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47</cp:revision>
  <cp:lastPrinted>2018-03-14T18:14:00Z</cp:lastPrinted>
  <dcterms:created xsi:type="dcterms:W3CDTF">2018-04-04T20:20:00Z</dcterms:created>
  <dcterms:modified xsi:type="dcterms:W3CDTF">2019-05-07T23:44:00Z</dcterms:modified>
</cp:coreProperties>
</file>