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652001" w14:textId="77777777" w:rsidR="00283635" w:rsidRPr="00B23505" w:rsidRDefault="00283635" w:rsidP="006E790B">
      <w:pPr>
        <w:pStyle w:val="Heading1"/>
        <w:rPr>
          <w:lang w:val="en-CA"/>
        </w:rPr>
      </w:pPr>
      <w:bookmarkStart w:id="0" w:name="_GoBack"/>
      <w:bookmarkEnd w:id="0"/>
      <w:r w:rsidRPr="00B23505">
        <w:rPr>
          <w:lang w:val="en-CA"/>
        </w:rPr>
        <w:t xml:space="preserve">Gargoyles and the Alter Ego </w:t>
      </w:r>
    </w:p>
    <w:p w14:paraId="5E484B28" w14:textId="77777777" w:rsidR="00065D73" w:rsidRPr="00B23505" w:rsidRDefault="00283635" w:rsidP="00AC666C">
      <w:pPr>
        <w:pStyle w:val="Heading2"/>
        <w:rPr>
          <w:lang w:val="en-CA"/>
        </w:rPr>
      </w:pPr>
      <w:r w:rsidRPr="00B23505">
        <w:rPr>
          <w:lang w:val="en-CA"/>
        </w:rPr>
        <w:t xml:space="preserve">Arts Education – Studio Arts 3D 10-12 </w:t>
      </w:r>
    </w:p>
    <w:p w14:paraId="5EA30A45" w14:textId="227433E8" w:rsidR="00283635" w:rsidRPr="00B23505" w:rsidRDefault="00324A74" w:rsidP="00AC666C">
      <w:pPr>
        <w:pStyle w:val="Heading2"/>
        <w:rPr>
          <w:lang w:val="en-CA"/>
        </w:rPr>
      </w:pPr>
      <w:r w:rsidRPr="00B23505">
        <w:rPr>
          <w:lang w:val="en-CA"/>
        </w:rPr>
        <w:br/>
      </w:r>
      <w:r w:rsidR="00283635" w:rsidRPr="00B23505">
        <w:rPr>
          <w:lang w:val="en-CA"/>
        </w:rPr>
        <w:t>Learning Goal</w:t>
      </w:r>
    </w:p>
    <w:p w14:paraId="2FCDE14B" w14:textId="567D2011" w:rsidR="00283635" w:rsidRPr="00B23505" w:rsidRDefault="00283635" w:rsidP="00065D73">
      <w:pPr>
        <w:pStyle w:val="BodyText"/>
        <w:rPr>
          <w:lang w:val="en-CA"/>
        </w:rPr>
      </w:pPr>
      <w:r w:rsidRPr="00B23505">
        <w:rPr>
          <w:lang w:val="en-CA"/>
        </w:rPr>
        <w:t>To create a personally meaningful gargoyle that explores our identities, using</w:t>
      </w:r>
      <w:r w:rsidR="00EF7CD7" w:rsidRPr="00B23505">
        <w:rPr>
          <w:lang w:val="en-CA"/>
        </w:rPr>
        <w:br/>
      </w:r>
      <w:r w:rsidRPr="00B23505">
        <w:rPr>
          <w:lang w:val="en-CA"/>
        </w:rPr>
        <w:t>ceramics techniques.</w:t>
      </w:r>
    </w:p>
    <w:p w14:paraId="0848C720" w14:textId="77777777" w:rsidR="00283635" w:rsidRPr="00B23505" w:rsidRDefault="00283635" w:rsidP="00AC666C">
      <w:pPr>
        <w:pStyle w:val="Heading2"/>
        <w:rPr>
          <w:lang w:val="en-CA"/>
        </w:rPr>
      </w:pPr>
      <w:r w:rsidRPr="00B23505">
        <w:rPr>
          <w:lang w:val="en-CA"/>
        </w:rPr>
        <w:t>Rationale</w:t>
      </w:r>
    </w:p>
    <w:p w14:paraId="6B0BD809" w14:textId="77777777" w:rsidR="00283635" w:rsidRPr="00B23505" w:rsidRDefault="00283635" w:rsidP="00D3291A">
      <w:pPr>
        <w:pStyle w:val="BodyText"/>
        <w:rPr>
          <w:lang w:val="en-CA"/>
        </w:rPr>
      </w:pPr>
      <w:r w:rsidRPr="00B23505">
        <w:rPr>
          <w:lang w:val="en-CA"/>
        </w:rPr>
        <w:t xml:space="preserve">Adolescence is a unique journey of identity, exploration, and social-emotional development. As art teachers, we can guide students and help them tap into this period of intense creativity.  Projects that focus on Social and Emotional Learning (SEL) through visual art nurture students’ imagination and growth. </w:t>
      </w:r>
    </w:p>
    <w:p w14:paraId="406BC110" w14:textId="77777777" w:rsidR="00283635" w:rsidRPr="00B23505" w:rsidRDefault="00283635" w:rsidP="00D3291A">
      <w:pPr>
        <w:pStyle w:val="BodyText"/>
        <w:rPr>
          <w:lang w:val="en-CA"/>
        </w:rPr>
      </w:pPr>
      <w:r w:rsidRPr="00B23505">
        <w:rPr>
          <w:lang w:val="en-CA"/>
        </w:rPr>
        <w:t xml:space="preserve">Youth often feel uncomfortable in their own skin; they may create external personas to help themselves navigate through awkward or painful experiences. In this lesson, students are invited to reflect on the aspects of their personality that they share freely with others and those they prefer to keep hidden. They are asked to explore their secondary or alternative personalities and will create a ceramic gargoyle in the likeness of their alter ego(s). Each student determines what private side(s) of their personality they will choose to explore and share through the art-making process. </w:t>
      </w:r>
    </w:p>
    <w:p w14:paraId="00DA5CF5" w14:textId="77777777" w:rsidR="00283635" w:rsidRPr="00B23505" w:rsidRDefault="00283635" w:rsidP="00D3291A">
      <w:pPr>
        <w:pStyle w:val="BodyText"/>
        <w:rPr>
          <w:lang w:val="en-CA"/>
        </w:rPr>
      </w:pPr>
      <w:r w:rsidRPr="00B23505">
        <w:rPr>
          <w:lang w:val="en-CA"/>
        </w:rPr>
        <w:t xml:space="preserve">Before launching into the creative process, students will learn about the historical role of gargoyles in different cultures and will see examples of the many forms that they can take, such as guardians, demons, beasts, angels, infants, animals, spirits, etc. The examples are designed to illustrate that possibilities are practically endless and to inspire students to come up with their own creative ideas. </w:t>
      </w:r>
    </w:p>
    <w:p w14:paraId="542CC3D2" w14:textId="77777777" w:rsidR="00283635" w:rsidRPr="00B23505" w:rsidRDefault="00283635" w:rsidP="00D3291A">
      <w:pPr>
        <w:pStyle w:val="BodyText"/>
        <w:rPr>
          <w:lang w:val="en-CA"/>
        </w:rPr>
      </w:pPr>
      <w:r w:rsidRPr="00B23505">
        <w:rPr>
          <w:lang w:val="en-CA"/>
        </w:rPr>
        <w:t>This lesson can be adapted to include cross-curricular connections to Language Arts, Social Studies, and to other areas of Arts Education. There are references to storytelling, folklore, art history, and architecture. This lesson is also guided by the following First People’s Principles of Learning:</w:t>
      </w:r>
    </w:p>
    <w:p w14:paraId="54613E8F" w14:textId="523AE015" w:rsidR="00283635" w:rsidRPr="00B23505" w:rsidRDefault="00283635" w:rsidP="00D3291A">
      <w:pPr>
        <w:pStyle w:val="BodyText"/>
        <w:rPr>
          <w:lang w:val="en-CA"/>
        </w:rPr>
      </w:pPr>
      <w:r w:rsidRPr="00B23505">
        <w:rPr>
          <w:lang w:val="en-CA"/>
        </w:rPr>
        <w:t>Learning ultimately supports the well-being of the self, the family, the community, the land, the spirits, and the ancestors.</w:t>
      </w:r>
    </w:p>
    <w:p w14:paraId="31A9CF23" w14:textId="37B37785" w:rsidR="00283635" w:rsidRPr="00B23505" w:rsidRDefault="00283635" w:rsidP="00324A74">
      <w:pPr>
        <w:pStyle w:val="ListParagraph"/>
        <w:rPr>
          <w:lang w:val="en-CA"/>
        </w:rPr>
      </w:pPr>
      <w:r w:rsidRPr="00B23505">
        <w:rPr>
          <w:lang w:val="en-CA"/>
        </w:rPr>
        <w:t>Learning is holistic, reflexive, reflective, experiential, and relational.</w:t>
      </w:r>
    </w:p>
    <w:p w14:paraId="5A7C4DBA" w14:textId="7AFD06C0" w:rsidR="00283635" w:rsidRPr="00B23505" w:rsidRDefault="00283635" w:rsidP="00324A74">
      <w:pPr>
        <w:pStyle w:val="ListParagraph"/>
        <w:rPr>
          <w:lang w:val="en-CA"/>
        </w:rPr>
      </w:pPr>
      <w:r w:rsidRPr="00B23505">
        <w:rPr>
          <w:lang w:val="en-CA"/>
        </w:rPr>
        <w:t>Learning is embedded in memory, history, and story.</w:t>
      </w:r>
    </w:p>
    <w:p w14:paraId="6DBEB481" w14:textId="57F8E0FF" w:rsidR="00283635" w:rsidRPr="00B23505" w:rsidRDefault="00283635" w:rsidP="00324A74">
      <w:pPr>
        <w:pStyle w:val="ListParagraph"/>
        <w:rPr>
          <w:lang w:val="en-CA"/>
        </w:rPr>
      </w:pPr>
      <w:r w:rsidRPr="00B23505">
        <w:rPr>
          <w:lang w:val="en-CA"/>
        </w:rPr>
        <w:t>Learning involves patience and time.</w:t>
      </w:r>
    </w:p>
    <w:p w14:paraId="481FB432" w14:textId="01DC6A30" w:rsidR="00283635" w:rsidRPr="00B23505" w:rsidRDefault="00283635" w:rsidP="00324A74">
      <w:pPr>
        <w:pStyle w:val="ListParagraph"/>
        <w:rPr>
          <w:lang w:val="en-CA"/>
        </w:rPr>
      </w:pPr>
      <w:r w:rsidRPr="00B23505">
        <w:rPr>
          <w:lang w:val="en-CA"/>
        </w:rPr>
        <w:lastRenderedPageBreak/>
        <w:t xml:space="preserve">Learning requires exploration of one’s identity. </w:t>
      </w:r>
    </w:p>
    <w:p w14:paraId="62909789" w14:textId="4F7C0CB5" w:rsidR="00283635" w:rsidRPr="00AC666C" w:rsidRDefault="005D1AAD" w:rsidP="00AC666C">
      <w:pPr>
        <w:pStyle w:val="Heading3"/>
      </w:pPr>
      <w:r w:rsidRPr="00B23505">
        <w:rPr>
          <w:lang w:val="en-CA"/>
        </w:rPr>
        <w:br/>
      </w:r>
      <w:r w:rsidR="00283635" w:rsidRPr="00AC666C">
        <w:t>The Big Ideas</w:t>
      </w:r>
    </w:p>
    <w:p w14:paraId="6FC52D4F" w14:textId="77777777" w:rsidR="00D3291A" w:rsidRDefault="00D3291A" w:rsidP="00D3291A">
      <w:pPr>
        <w:pBdr>
          <w:top w:val="nil"/>
          <w:left w:val="nil"/>
          <w:bottom w:val="nil"/>
          <w:right w:val="nil"/>
          <w:between w:val="nil"/>
        </w:pBdr>
        <w:spacing w:after="0" w:line="240" w:lineRule="auto"/>
        <w:ind w:left="567"/>
        <w:contextualSpacing/>
        <w:rPr>
          <w:color w:val="000000"/>
          <w:sz w:val="24"/>
          <w:szCs w:val="24"/>
        </w:rPr>
      </w:pPr>
    </w:p>
    <w:tbl>
      <w:tblPr>
        <w:tblStyle w:val="TableGrid"/>
        <w:tblW w:w="0" w:type="auto"/>
        <w:tblLook w:val="04A0" w:firstRow="1" w:lastRow="0" w:firstColumn="1" w:lastColumn="0" w:noHBand="0" w:noVBand="1"/>
      </w:tblPr>
      <w:tblGrid>
        <w:gridCol w:w="3120"/>
        <w:gridCol w:w="3114"/>
        <w:gridCol w:w="3116"/>
      </w:tblGrid>
      <w:tr w:rsidR="00D3291A" w14:paraId="288BE9A1" w14:textId="77777777" w:rsidTr="00347E36">
        <w:tc>
          <w:tcPr>
            <w:tcW w:w="3169" w:type="dxa"/>
          </w:tcPr>
          <w:p w14:paraId="7A682EB3" w14:textId="1BC32DF5" w:rsidR="00D3291A" w:rsidRPr="00065D73" w:rsidRDefault="005D1AAD" w:rsidP="005D1AAD">
            <w:pPr>
              <w:pStyle w:val="BodyText"/>
            </w:pPr>
            <w:r>
              <w:br/>
            </w:r>
            <w:r w:rsidR="00D3291A" w:rsidRPr="00065D73">
              <w:t>Grade 10</w:t>
            </w:r>
          </w:p>
        </w:tc>
        <w:tc>
          <w:tcPr>
            <w:tcW w:w="3169" w:type="dxa"/>
          </w:tcPr>
          <w:p w14:paraId="09D484BD" w14:textId="29C6C654" w:rsidR="00D3291A" w:rsidRPr="00065D73" w:rsidRDefault="005D1AAD" w:rsidP="005D1AAD">
            <w:pPr>
              <w:pStyle w:val="BodyText"/>
            </w:pPr>
            <w:r>
              <w:br/>
            </w:r>
            <w:r w:rsidR="00D3291A" w:rsidRPr="00065D73">
              <w:t>Grade 11</w:t>
            </w:r>
          </w:p>
        </w:tc>
        <w:tc>
          <w:tcPr>
            <w:tcW w:w="3170" w:type="dxa"/>
          </w:tcPr>
          <w:p w14:paraId="38F4F5F1" w14:textId="49B35271" w:rsidR="00D3291A" w:rsidRPr="00065D73" w:rsidRDefault="005D1AAD" w:rsidP="005D1AAD">
            <w:pPr>
              <w:pStyle w:val="BodyText"/>
            </w:pPr>
            <w:r>
              <w:br/>
            </w:r>
            <w:r w:rsidR="00D3291A" w:rsidRPr="00065D73">
              <w:t>Grade 12</w:t>
            </w:r>
          </w:p>
        </w:tc>
      </w:tr>
      <w:tr w:rsidR="00D3291A" w14:paraId="017FE6C2" w14:textId="77777777" w:rsidTr="00347E36">
        <w:trPr>
          <w:trHeight w:val="2898"/>
        </w:trPr>
        <w:tc>
          <w:tcPr>
            <w:tcW w:w="3169" w:type="dxa"/>
          </w:tcPr>
          <w:p w14:paraId="1A8E9F7B" w14:textId="77777777" w:rsidR="00D3291A" w:rsidRPr="00B23505" w:rsidRDefault="00D3291A" w:rsidP="005D1AAD">
            <w:pPr>
              <w:pStyle w:val="BodyText"/>
              <w:rPr>
                <w:lang w:val="en-CA"/>
              </w:rPr>
            </w:pPr>
            <w:r w:rsidRPr="00B23505">
              <w:rPr>
                <w:color w:val="000000"/>
                <w:lang w:val="en-CA"/>
              </w:rPr>
              <w:t xml:space="preserve">Artists communicate ideas, emotions, and perspectives through form. </w:t>
            </w:r>
          </w:p>
          <w:p w14:paraId="6C88EAED" w14:textId="77777777" w:rsidR="00D3291A" w:rsidRPr="00B23505" w:rsidRDefault="00D3291A" w:rsidP="005D1AAD">
            <w:pPr>
              <w:pStyle w:val="BodyText"/>
              <w:rPr>
                <w:lang w:val="en-CA"/>
              </w:rPr>
            </w:pPr>
            <w:r w:rsidRPr="00B23505">
              <w:rPr>
                <w:color w:val="000000"/>
                <w:lang w:val="en-CA"/>
              </w:rPr>
              <w:t>Visual arts offer unique ways of exploring our identity and sense of belonging.</w:t>
            </w:r>
          </w:p>
        </w:tc>
        <w:tc>
          <w:tcPr>
            <w:tcW w:w="3169" w:type="dxa"/>
          </w:tcPr>
          <w:p w14:paraId="5BA97D9B" w14:textId="77777777" w:rsidR="00D3291A" w:rsidRPr="00B23505" w:rsidRDefault="00D3291A" w:rsidP="005D1AAD">
            <w:pPr>
              <w:pStyle w:val="BodyText"/>
              <w:rPr>
                <w:color w:val="000000"/>
                <w:lang w:val="en-CA"/>
              </w:rPr>
            </w:pPr>
            <w:r w:rsidRPr="00B23505">
              <w:rPr>
                <w:color w:val="000000"/>
                <w:lang w:val="en-CA"/>
              </w:rPr>
              <w:t>An artist’s intention transforms materials into three-dimensional art.</w:t>
            </w:r>
          </w:p>
          <w:p w14:paraId="104498B9" w14:textId="77777777" w:rsidR="00D3291A" w:rsidRPr="00B23505" w:rsidRDefault="00D3291A" w:rsidP="005D1AAD">
            <w:pPr>
              <w:pStyle w:val="BodyText"/>
              <w:rPr>
                <w:lang w:val="en-CA"/>
              </w:rPr>
            </w:pPr>
            <w:r w:rsidRPr="00B23505">
              <w:rPr>
                <w:color w:val="000000"/>
                <w:lang w:val="en-CA"/>
              </w:rPr>
              <w:t xml:space="preserve">Artistic expression is an artist’s physical, emotional, and cognitive articulation of our humanity. </w:t>
            </w:r>
          </w:p>
          <w:p w14:paraId="32A3BCE3" w14:textId="77777777" w:rsidR="00D3291A" w:rsidRPr="00B23505" w:rsidRDefault="00D3291A" w:rsidP="005D1AAD">
            <w:pPr>
              <w:pStyle w:val="BodyText"/>
              <w:rPr>
                <w:lang w:val="en-CA"/>
              </w:rPr>
            </w:pPr>
          </w:p>
        </w:tc>
        <w:tc>
          <w:tcPr>
            <w:tcW w:w="3170" w:type="dxa"/>
          </w:tcPr>
          <w:p w14:paraId="4E921579" w14:textId="77777777" w:rsidR="00D3291A" w:rsidRPr="00B23505" w:rsidRDefault="00D3291A" w:rsidP="005D1AAD">
            <w:pPr>
              <w:pStyle w:val="BodyText"/>
              <w:rPr>
                <w:color w:val="000000"/>
                <w:lang w:val="en-CA"/>
              </w:rPr>
            </w:pPr>
            <w:r w:rsidRPr="00B23505">
              <w:rPr>
                <w:color w:val="000000"/>
                <w:lang w:val="en-CA"/>
              </w:rPr>
              <w:t>An artist’s intention transforms materials into three-dimensional art.</w:t>
            </w:r>
          </w:p>
          <w:p w14:paraId="554EA7F6" w14:textId="77777777" w:rsidR="00D3291A" w:rsidRPr="00B23505" w:rsidRDefault="00D3291A" w:rsidP="005D1AAD">
            <w:pPr>
              <w:pStyle w:val="BodyText"/>
              <w:rPr>
                <w:lang w:val="en-CA"/>
              </w:rPr>
            </w:pPr>
            <w:r w:rsidRPr="00B23505">
              <w:rPr>
                <w:color w:val="000000"/>
                <w:lang w:val="en-CA"/>
              </w:rPr>
              <w:t>Aesthetic experiences have the power to transform our perspective.</w:t>
            </w:r>
          </w:p>
          <w:p w14:paraId="458E5C83" w14:textId="77777777" w:rsidR="00D3291A" w:rsidRPr="00B23505" w:rsidRDefault="00D3291A" w:rsidP="005D1AAD">
            <w:pPr>
              <w:pStyle w:val="BodyText"/>
              <w:rPr>
                <w:lang w:val="en-CA"/>
              </w:rPr>
            </w:pPr>
          </w:p>
        </w:tc>
      </w:tr>
    </w:tbl>
    <w:p w14:paraId="66E0022B" w14:textId="7F6E8F4A" w:rsidR="00283635" w:rsidRDefault="005D1AAD" w:rsidP="00AC666C">
      <w:pPr>
        <w:pStyle w:val="Heading3"/>
      </w:pPr>
      <w:r w:rsidRPr="00B23505">
        <w:rPr>
          <w:lang w:val="en-CA"/>
        </w:rPr>
        <w:br/>
      </w:r>
      <w:r w:rsidR="00283635">
        <w:t xml:space="preserve">Curricular Competencies  </w:t>
      </w:r>
    </w:p>
    <w:p w14:paraId="3AC00B61" w14:textId="0B9FCE46" w:rsidR="00283635" w:rsidRPr="00B23505" w:rsidRDefault="00283635" w:rsidP="00324A74">
      <w:pPr>
        <w:pStyle w:val="ListParagraph"/>
        <w:rPr>
          <w:lang w:val="en-CA"/>
        </w:rPr>
      </w:pPr>
      <w:r w:rsidRPr="00B23505">
        <w:rPr>
          <w:lang w:val="en-CA"/>
        </w:rPr>
        <w:t xml:space="preserve">Express meaning, intent, and emotions through 3D artistic works </w:t>
      </w:r>
    </w:p>
    <w:p w14:paraId="74816752" w14:textId="235B9640" w:rsidR="00283635" w:rsidRPr="00B23505" w:rsidRDefault="00283635" w:rsidP="00324A74">
      <w:pPr>
        <w:pStyle w:val="ListParagraph"/>
        <w:rPr>
          <w:lang w:val="en-CA"/>
        </w:rPr>
      </w:pPr>
      <w:r w:rsidRPr="00B23505">
        <w:rPr>
          <w:lang w:val="en-CA"/>
        </w:rPr>
        <w:t xml:space="preserve">Demonstrate safe and responsible use of materials, tools, and work space </w:t>
      </w:r>
    </w:p>
    <w:p w14:paraId="2365A1E3" w14:textId="5E63525D" w:rsidR="00283635" w:rsidRPr="00B23505" w:rsidRDefault="00283635" w:rsidP="00324A74">
      <w:pPr>
        <w:pStyle w:val="ListParagraph"/>
        <w:rPr>
          <w:lang w:val="en-CA"/>
        </w:rPr>
      </w:pPr>
      <w:r w:rsidRPr="00B23505">
        <w:rPr>
          <w:lang w:val="en-CA"/>
        </w:rPr>
        <w:t xml:space="preserve">Develop/reflect on personal answers to aesthetic questions </w:t>
      </w:r>
    </w:p>
    <w:p w14:paraId="0D0046ED" w14:textId="3F2A8CAB" w:rsidR="00283635" w:rsidRPr="00B23505" w:rsidRDefault="00283635" w:rsidP="00324A74">
      <w:pPr>
        <w:pStyle w:val="ListParagraph"/>
        <w:rPr>
          <w:lang w:val="en-CA"/>
        </w:rPr>
      </w:pPr>
      <w:r w:rsidRPr="00B23505">
        <w:rPr>
          <w:lang w:val="en-CA"/>
        </w:rPr>
        <w:t>Demonstrate awareness of/respect for self, others and place</w:t>
      </w:r>
    </w:p>
    <w:p w14:paraId="5EADB42F" w14:textId="70FF8B48" w:rsidR="00283635" w:rsidRPr="00B23505" w:rsidRDefault="00283635" w:rsidP="00324A74">
      <w:pPr>
        <w:pStyle w:val="ListParagraph"/>
        <w:rPr>
          <w:lang w:val="en-CA"/>
        </w:rPr>
      </w:pPr>
      <w:r w:rsidRPr="00B23505">
        <w:rPr>
          <w:lang w:val="en-CA"/>
        </w:rPr>
        <w:t>Create artistic works to reflect personal voice, story and values</w:t>
      </w:r>
      <w:r w:rsidR="00BA1C44" w:rsidRPr="00B23505">
        <w:rPr>
          <w:lang w:val="en-CA"/>
        </w:rPr>
        <w:br/>
      </w:r>
      <w:r w:rsidRPr="00B23505">
        <w:rPr>
          <w:lang w:val="en-CA"/>
        </w:rPr>
        <w:t>(Grades 11 and 12)</w:t>
      </w:r>
    </w:p>
    <w:p w14:paraId="48E650DB" w14:textId="564303E3" w:rsidR="00283635" w:rsidRDefault="00283635" w:rsidP="00AC666C">
      <w:pPr>
        <w:pStyle w:val="Heading3"/>
      </w:pPr>
      <w:r>
        <w:t>Content</w:t>
      </w:r>
    </w:p>
    <w:p w14:paraId="46B8BCF9" w14:textId="0CB90FAD" w:rsidR="00283635" w:rsidRDefault="00283635" w:rsidP="00324A74">
      <w:pPr>
        <w:pStyle w:val="ListParagraph"/>
      </w:pPr>
      <w:r>
        <w:t>elements of visual art</w:t>
      </w:r>
    </w:p>
    <w:p w14:paraId="38366703" w14:textId="329B14D3" w:rsidR="00283635" w:rsidRDefault="00283635" w:rsidP="00324A74">
      <w:pPr>
        <w:pStyle w:val="ListParagraph"/>
      </w:pPr>
      <w:r>
        <w:t>principles of design</w:t>
      </w:r>
    </w:p>
    <w:p w14:paraId="1A1AADAB" w14:textId="027AA63E" w:rsidR="00283635" w:rsidRDefault="00283635" w:rsidP="00324A74">
      <w:pPr>
        <w:pStyle w:val="ListParagraph"/>
      </w:pPr>
      <w:r>
        <w:t>image development strategies</w:t>
      </w:r>
    </w:p>
    <w:p w14:paraId="0C8528DB" w14:textId="364845DB" w:rsidR="00283635" w:rsidRPr="00B23505" w:rsidRDefault="00283635" w:rsidP="00324A74">
      <w:pPr>
        <w:pStyle w:val="ListParagraph"/>
        <w:rPr>
          <w:lang w:val="en-CA"/>
        </w:rPr>
      </w:pPr>
      <w:r w:rsidRPr="00B23505">
        <w:rPr>
          <w:lang w:val="en-CA"/>
        </w:rPr>
        <w:t>materials, technologies, and processes for 3D artistic works</w:t>
      </w:r>
    </w:p>
    <w:p w14:paraId="6B7D01B8" w14:textId="0DACB848" w:rsidR="00283635" w:rsidRDefault="00283635" w:rsidP="00324A74">
      <w:pPr>
        <w:pStyle w:val="ListParagraph"/>
      </w:pPr>
      <w:r>
        <w:t>creative processes</w:t>
      </w:r>
    </w:p>
    <w:p w14:paraId="35B7D778" w14:textId="362664D8" w:rsidR="00283635" w:rsidRPr="00B23505" w:rsidRDefault="00283635" w:rsidP="00324A74">
      <w:pPr>
        <w:pStyle w:val="ListParagraph"/>
        <w:rPr>
          <w:lang w:val="en-CA"/>
        </w:rPr>
      </w:pPr>
      <w:r w:rsidRPr="00B23505">
        <w:rPr>
          <w:lang w:val="en-CA"/>
        </w:rPr>
        <w:lastRenderedPageBreak/>
        <w:t>physical properties and impacts of various materials</w:t>
      </w:r>
    </w:p>
    <w:p w14:paraId="68D1F886" w14:textId="79F77F44" w:rsidR="00283635" w:rsidRDefault="00283635" w:rsidP="00324A74">
      <w:pPr>
        <w:pStyle w:val="ListParagraph"/>
      </w:pPr>
      <w:r>
        <w:t>symbols and metaphors</w:t>
      </w:r>
    </w:p>
    <w:p w14:paraId="5A381607" w14:textId="4F5A4CD9" w:rsidR="00283635" w:rsidRDefault="00283635" w:rsidP="00AC666C">
      <w:pPr>
        <w:pStyle w:val="Heading3"/>
      </w:pPr>
      <w:r>
        <w:t>Core Competencies</w:t>
      </w:r>
    </w:p>
    <w:p w14:paraId="34B1F338" w14:textId="54B7C443" w:rsidR="00283635" w:rsidRPr="00B23505" w:rsidRDefault="00283635" w:rsidP="00D3291A">
      <w:pPr>
        <w:pStyle w:val="BodyText"/>
        <w:rPr>
          <w:lang w:val="en-CA"/>
        </w:rPr>
      </w:pPr>
      <w:r w:rsidRPr="00B23505">
        <w:rPr>
          <w:lang w:val="en-CA"/>
        </w:rPr>
        <w:t>Communication, Thinking and Personal and Social Competencies are developed as students work to create personally meaningful gargoyles. Students will develop these competencies as they</w:t>
      </w:r>
      <w:r w:rsidR="00B23505" w:rsidRPr="00B23505">
        <w:rPr>
          <w:lang w:val="en-CA"/>
        </w:rPr>
        <w:t xml:space="preserve"> </w:t>
      </w:r>
      <w:r w:rsidR="00B23505">
        <w:rPr>
          <w:lang w:val="en-CA"/>
        </w:rPr>
        <w:t>work on creating gargoyles.</w:t>
      </w:r>
    </w:p>
    <w:p w14:paraId="29CC7BAB" w14:textId="032C237E" w:rsidR="00283635" w:rsidRDefault="00283635" w:rsidP="00AC666C">
      <w:pPr>
        <w:pStyle w:val="Heading3"/>
      </w:pPr>
      <w:r>
        <w:t>Communication</w:t>
      </w:r>
    </w:p>
    <w:p w14:paraId="24B11E2C" w14:textId="26DA5AE0" w:rsidR="00283635" w:rsidRDefault="00283635" w:rsidP="00324A74">
      <w:pPr>
        <w:pStyle w:val="ListParagraph"/>
      </w:pPr>
      <w:r>
        <w:t>Communicating</w:t>
      </w:r>
    </w:p>
    <w:p w14:paraId="39DF49AA" w14:textId="21DD10EE" w:rsidR="00283635" w:rsidRDefault="00283635" w:rsidP="00BA1C44">
      <w:pPr>
        <w:pStyle w:val="Bullets2"/>
      </w:pPr>
      <w:r>
        <w:t>Connecting and engaging with others</w:t>
      </w:r>
    </w:p>
    <w:p w14:paraId="4619C3C4" w14:textId="38DF2DDD" w:rsidR="00283635" w:rsidRDefault="00283635" w:rsidP="00BA1C44">
      <w:pPr>
        <w:pStyle w:val="Bullets2"/>
      </w:pPr>
      <w:r>
        <w:t>Acquiring and presenting information</w:t>
      </w:r>
    </w:p>
    <w:p w14:paraId="65781B34" w14:textId="64EF41FD" w:rsidR="00283635" w:rsidRDefault="00283635" w:rsidP="00324A74">
      <w:pPr>
        <w:pStyle w:val="ListParagraph"/>
      </w:pPr>
      <w:r>
        <w:t>Collaborating</w:t>
      </w:r>
    </w:p>
    <w:p w14:paraId="4BB89466" w14:textId="49C3646C" w:rsidR="00283635" w:rsidRDefault="00283635" w:rsidP="00BA1C44">
      <w:pPr>
        <w:pStyle w:val="Bullets2"/>
      </w:pPr>
      <w:r>
        <w:t>Supporting group interactions</w:t>
      </w:r>
    </w:p>
    <w:p w14:paraId="0321E639" w14:textId="0B93FE7E" w:rsidR="00283635" w:rsidRDefault="00283635" w:rsidP="00AC666C">
      <w:pPr>
        <w:pStyle w:val="Heading3"/>
      </w:pPr>
      <w:r>
        <w:t>Thinking</w:t>
      </w:r>
    </w:p>
    <w:p w14:paraId="4689D207" w14:textId="6AC0F26B" w:rsidR="00283635" w:rsidRDefault="00283635" w:rsidP="00324A74">
      <w:pPr>
        <w:pStyle w:val="ListParagraph"/>
      </w:pPr>
      <w:r>
        <w:t>Creative Thinking</w:t>
      </w:r>
    </w:p>
    <w:p w14:paraId="304B2EAA" w14:textId="0720D6AE" w:rsidR="00283635" w:rsidRDefault="00283635" w:rsidP="00BA1C44">
      <w:pPr>
        <w:pStyle w:val="Bullets2"/>
      </w:pPr>
      <w:r>
        <w:t>Creating and innovating</w:t>
      </w:r>
    </w:p>
    <w:p w14:paraId="4F49EB40" w14:textId="11D88298" w:rsidR="00283635" w:rsidRDefault="00283635" w:rsidP="00324A74">
      <w:pPr>
        <w:pStyle w:val="ListParagraph"/>
      </w:pPr>
      <w:r>
        <w:t>Critical and Reflective Thinking</w:t>
      </w:r>
    </w:p>
    <w:p w14:paraId="61D2D8A1" w14:textId="3A16A93B" w:rsidR="00283635" w:rsidRDefault="00283635" w:rsidP="00BA1C44">
      <w:pPr>
        <w:pStyle w:val="Bullets2"/>
      </w:pPr>
      <w:r>
        <w:t>Designing and developing</w:t>
      </w:r>
    </w:p>
    <w:p w14:paraId="70CD8548" w14:textId="4796E716" w:rsidR="00283635" w:rsidRDefault="00283635" w:rsidP="00AC666C">
      <w:pPr>
        <w:pStyle w:val="Heading3"/>
      </w:pPr>
      <w:r>
        <w:t>Personal and Social</w:t>
      </w:r>
    </w:p>
    <w:p w14:paraId="177F1179" w14:textId="12671620" w:rsidR="00283635" w:rsidRDefault="00283635" w:rsidP="00324A74">
      <w:pPr>
        <w:pStyle w:val="ListParagraph"/>
      </w:pPr>
      <w:r>
        <w:t>Social Awareness and Responsibility</w:t>
      </w:r>
    </w:p>
    <w:p w14:paraId="792C3A68" w14:textId="03E3E40F" w:rsidR="00283635" w:rsidRDefault="00283635" w:rsidP="00BA1C44">
      <w:pPr>
        <w:pStyle w:val="Bullets2"/>
      </w:pPr>
      <w:r>
        <w:t>Valuing diversity</w:t>
      </w:r>
    </w:p>
    <w:p w14:paraId="14EC967D" w14:textId="77777777" w:rsidR="004749BC" w:rsidRDefault="005D1AAD" w:rsidP="00AC666C">
      <w:pPr>
        <w:pStyle w:val="Heading3"/>
      </w:pPr>
      <w:r>
        <w:br/>
      </w:r>
    </w:p>
    <w:p w14:paraId="24FA14C8" w14:textId="77777777" w:rsidR="004749BC" w:rsidRDefault="004749BC">
      <w:pPr>
        <w:rPr>
          <w:rFonts w:ascii="Arial" w:eastAsia="Arial" w:hAnsi="Arial" w:cs="Arial"/>
          <w:b/>
          <w:bCs/>
          <w:iCs w:val="0"/>
          <w:noProof/>
          <w:color w:val="595959" w:themeColor="text1" w:themeTint="A6"/>
          <w:sz w:val="28"/>
          <w:szCs w:val="28"/>
          <w:lang w:val="fr-CA"/>
        </w:rPr>
      </w:pPr>
      <w:r>
        <w:br w:type="page"/>
      </w:r>
    </w:p>
    <w:p w14:paraId="3102F5B0" w14:textId="5355FDE5" w:rsidR="00283635" w:rsidRDefault="00283635" w:rsidP="00AC666C">
      <w:pPr>
        <w:pStyle w:val="Heading3"/>
      </w:pPr>
      <w:r>
        <w:lastRenderedPageBreak/>
        <w:t>Materials</w:t>
      </w:r>
    </w:p>
    <w:p w14:paraId="59982F16" w14:textId="1E3194C6" w:rsidR="00283635" w:rsidRDefault="00283635" w:rsidP="00324A74">
      <w:pPr>
        <w:pStyle w:val="ListParagraph"/>
      </w:pPr>
      <w:r>
        <w:t>High temperature clay</w:t>
      </w:r>
    </w:p>
    <w:p w14:paraId="3E534A24" w14:textId="6F254160" w:rsidR="00283635" w:rsidRDefault="00283635" w:rsidP="00324A74">
      <w:pPr>
        <w:pStyle w:val="ListParagraph"/>
      </w:pPr>
      <w:r>
        <w:t>Newspaper</w:t>
      </w:r>
    </w:p>
    <w:p w14:paraId="1C50172E" w14:textId="0349EABA" w:rsidR="00283635" w:rsidRPr="00B23505" w:rsidRDefault="00283635" w:rsidP="00324A74">
      <w:pPr>
        <w:pStyle w:val="ListParagraph"/>
        <w:rPr>
          <w:lang w:val="en-CA"/>
        </w:rPr>
      </w:pPr>
      <w:r w:rsidRPr="00B23505">
        <w:rPr>
          <w:lang w:val="en-CA"/>
        </w:rPr>
        <w:t>Work/ware boards, canvas covered boards</w:t>
      </w:r>
    </w:p>
    <w:p w14:paraId="4795F9DB" w14:textId="45BE95F2" w:rsidR="00283635" w:rsidRPr="00B23505" w:rsidRDefault="00283635" w:rsidP="00324A74">
      <w:pPr>
        <w:pStyle w:val="ListParagraph"/>
        <w:rPr>
          <w:lang w:val="en-CA"/>
        </w:rPr>
      </w:pPr>
      <w:r w:rsidRPr="00B23505">
        <w:rPr>
          <w:lang w:val="en-CA"/>
        </w:rPr>
        <w:t>Ceramics tools: pin tools, ribbon tools, wooden sculpting tools</w:t>
      </w:r>
    </w:p>
    <w:p w14:paraId="5F9F1E99" w14:textId="3B8B3D7B" w:rsidR="00283635" w:rsidRDefault="00283635" w:rsidP="00324A74">
      <w:pPr>
        <w:pStyle w:val="ListParagraph"/>
      </w:pPr>
      <w:r>
        <w:t>Rolling pins</w:t>
      </w:r>
    </w:p>
    <w:p w14:paraId="7665BDD4" w14:textId="67C27CFC" w:rsidR="00283635" w:rsidRDefault="00283635" w:rsidP="00324A74">
      <w:pPr>
        <w:pStyle w:val="ListParagraph"/>
      </w:pPr>
      <w:r>
        <w:t>Sponges</w:t>
      </w:r>
    </w:p>
    <w:p w14:paraId="38305D96" w14:textId="2B41BF91" w:rsidR="00283635" w:rsidRDefault="00283635" w:rsidP="00324A74">
      <w:pPr>
        <w:pStyle w:val="ListParagraph"/>
      </w:pPr>
      <w:r>
        <w:t>Lightweight canvas</w:t>
      </w:r>
    </w:p>
    <w:p w14:paraId="328308CD" w14:textId="7087EFFA" w:rsidR="00283635" w:rsidRDefault="005D1AAD" w:rsidP="00AC666C">
      <w:pPr>
        <w:pStyle w:val="Heading3"/>
      </w:pPr>
      <w:r>
        <w:br/>
      </w:r>
      <w:r w:rsidR="00283635">
        <w:t>Teacher Preparation</w:t>
      </w:r>
    </w:p>
    <w:p w14:paraId="67F57AFC" w14:textId="0C0E4CD4" w:rsidR="00283635" w:rsidRPr="00B23505" w:rsidRDefault="00283635" w:rsidP="00324A74">
      <w:pPr>
        <w:pStyle w:val="ListParagraph"/>
        <w:rPr>
          <w:lang w:val="en-CA"/>
        </w:rPr>
      </w:pPr>
      <w:r w:rsidRPr="00B23505">
        <w:rPr>
          <w:lang w:val="en-CA"/>
        </w:rPr>
        <w:t>Set tables up in a U-shape with a demo table in the middle, or use a</w:t>
      </w:r>
      <w:r w:rsidR="00C86432" w:rsidRPr="00B23505">
        <w:rPr>
          <w:lang w:val="en-CA"/>
        </w:rPr>
        <w:br/>
      </w:r>
      <w:r w:rsidRPr="00B23505">
        <w:rPr>
          <w:lang w:val="en-CA"/>
        </w:rPr>
        <w:t>demo mirror, or document camera</w:t>
      </w:r>
    </w:p>
    <w:p w14:paraId="4F7BFF92" w14:textId="17B8123E" w:rsidR="00283635" w:rsidRPr="00B23505" w:rsidRDefault="00283635" w:rsidP="00324A74">
      <w:pPr>
        <w:pStyle w:val="ListParagraph"/>
        <w:rPr>
          <w:lang w:val="en-CA"/>
        </w:rPr>
      </w:pPr>
      <w:r w:rsidRPr="00B23505">
        <w:rPr>
          <w:lang w:val="en-CA"/>
        </w:rPr>
        <w:t>Review classroom rules, health and safety while working with clay</w:t>
      </w:r>
    </w:p>
    <w:p w14:paraId="63085EB3" w14:textId="605F8801" w:rsidR="00283635" w:rsidRPr="00B23505" w:rsidRDefault="00283635" w:rsidP="00324A74">
      <w:pPr>
        <w:pStyle w:val="ListParagraph"/>
        <w:rPr>
          <w:lang w:val="en-CA"/>
        </w:rPr>
      </w:pPr>
      <w:r w:rsidRPr="00B23505">
        <w:rPr>
          <w:lang w:val="en-CA"/>
        </w:rPr>
        <w:t>Throughout the project, protect the gargoyles; exposing the gargoyles to</w:t>
      </w:r>
      <w:r w:rsidR="00C86432" w:rsidRPr="00B23505">
        <w:rPr>
          <w:lang w:val="en-CA"/>
        </w:rPr>
        <w:br/>
      </w:r>
      <w:r w:rsidRPr="00B23505">
        <w:rPr>
          <w:lang w:val="en-CA"/>
        </w:rPr>
        <w:t>air will dry them out</w:t>
      </w:r>
    </w:p>
    <w:p w14:paraId="719AEC54" w14:textId="2A0E30C6" w:rsidR="00283635" w:rsidRDefault="005D1AAD" w:rsidP="00AC666C">
      <w:pPr>
        <w:pStyle w:val="Heading3"/>
      </w:pPr>
      <w:r w:rsidRPr="00B23505">
        <w:rPr>
          <w:lang w:val="en-CA"/>
        </w:rPr>
        <w:br/>
      </w:r>
      <w:r w:rsidR="00283635">
        <w:t>On the first day…</w:t>
      </w:r>
    </w:p>
    <w:p w14:paraId="6F69F94C" w14:textId="60FD2F38" w:rsidR="009C248A" w:rsidRPr="009C248A" w:rsidRDefault="009C248A" w:rsidP="009C248A">
      <w:pPr>
        <w:pStyle w:val="ListParagraph"/>
        <w:rPr>
          <w:lang w:val="en-CA"/>
        </w:rPr>
      </w:pPr>
      <w:r>
        <w:rPr>
          <w:lang w:val="en-CA"/>
        </w:rPr>
        <w:t>Review prior knowledge</w:t>
      </w:r>
    </w:p>
    <w:p w14:paraId="4F8DDE22" w14:textId="77777777" w:rsidR="009C248A" w:rsidRDefault="009C248A" w:rsidP="009C248A">
      <w:pPr>
        <w:pStyle w:val="ListParagraph"/>
        <w:numPr>
          <w:ilvl w:val="1"/>
          <w:numId w:val="1"/>
        </w:numPr>
      </w:pPr>
      <w:r>
        <w:t>Drying stages of clay</w:t>
      </w:r>
    </w:p>
    <w:p w14:paraId="108F8C35" w14:textId="77777777" w:rsidR="009C248A" w:rsidRDefault="009C248A" w:rsidP="009C248A">
      <w:pPr>
        <w:pStyle w:val="ListParagraph"/>
        <w:numPr>
          <w:ilvl w:val="1"/>
          <w:numId w:val="1"/>
        </w:numPr>
      </w:pPr>
      <w:r>
        <w:t>Geological origins of clay</w:t>
      </w:r>
    </w:p>
    <w:p w14:paraId="437B61F6" w14:textId="00A7523C" w:rsidR="009C248A" w:rsidRPr="009C248A" w:rsidRDefault="009C248A" w:rsidP="009C248A">
      <w:pPr>
        <w:pStyle w:val="ListParagraph"/>
        <w:numPr>
          <w:ilvl w:val="1"/>
          <w:numId w:val="1"/>
        </w:numPr>
      </w:pPr>
      <w:r>
        <w:t>Cultural connections to clay</w:t>
      </w:r>
    </w:p>
    <w:p w14:paraId="5F694B39" w14:textId="2ADDEAC4" w:rsidR="00283635" w:rsidRPr="00B23505" w:rsidRDefault="00283635" w:rsidP="00324A74">
      <w:pPr>
        <w:pStyle w:val="ListParagraph"/>
        <w:rPr>
          <w:lang w:val="en-CA"/>
        </w:rPr>
      </w:pPr>
      <w:r w:rsidRPr="00B23505">
        <w:rPr>
          <w:lang w:val="en-CA"/>
        </w:rPr>
        <w:t xml:space="preserve">Discuss the learning goal and rationale for the project. </w:t>
      </w:r>
    </w:p>
    <w:p w14:paraId="6577BB85" w14:textId="1C11D5F7" w:rsidR="00283635" w:rsidRPr="00B23505" w:rsidRDefault="00283635" w:rsidP="00324A74">
      <w:pPr>
        <w:pStyle w:val="ListParagraph"/>
        <w:rPr>
          <w:lang w:val="en-CA"/>
        </w:rPr>
      </w:pPr>
      <w:r w:rsidRPr="00B23505">
        <w:rPr>
          <w:lang w:val="en-CA"/>
        </w:rPr>
        <w:t>Define “alter ego” and provide/invite class to share some examples.</w:t>
      </w:r>
    </w:p>
    <w:p w14:paraId="3D61DA26" w14:textId="5E69A39C" w:rsidR="00283635" w:rsidRPr="00B23505" w:rsidRDefault="00283635" w:rsidP="00324A74">
      <w:pPr>
        <w:pStyle w:val="ListParagraph"/>
        <w:rPr>
          <w:lang w:val="en-CA"/>
        </w:rPr>
      </w:pPr>
      <w:r w:rsidRPr="00B23505">
        <w:rPr>
          <w:lang w:val="en-CA"/>
        </w:rPr>
        <w:t>Deliver a PowerPoint presentation about gargoyles, speaking to their historical significance (including a brief review of the history of the plague</w:t>
      </w:r>
      <w:r w:rsidR="00C86432" w:rsidRPr="00B23505">
        <w:rPr>
          <w:lang w:val="en-CA"/>
        </w:rPr>
        <w:br/>
      </w:r>
      <w:r w:rsidRPr="00B23505">
        <w:rPr>
          <w:lang w:val="en-CA"/>
        </w:rPr>
        <w:t>in Europe) and identify global connections between cultures</w:t>
      </w:r>
      <w:r w:rsidR="00C86432" w:rsidRPr="00B23505">
        <w:rPr>
          <w:lang w:val="en-CA"/>
        </w:rPr>
        <w:br/>
      </w:r>
      <w:r w:rsidRPr="00B23505">
        <w:rPr>
          <w:lang w:val="en-CA"/>
        </w:rPr>
        <w:t xml:space="preserve">(see references below). </w:t>
      </w:r>
    </w:p>
    <w:p w14:paraId="6DFAAECE" w14:textId="176EEF40" w:rsidR="00283635" w:rsidRPr="00B23505" w:rsidRDefault="00283635" w:rsidP="00324A74">
      <w:pPr>
        <w:pStyle w:val="ListParagraph"/>
        <w:rPr>
          <w:lang w:val="en-CA"/>
        </w:rPr>
      </w:pPr>
      <w:r w:rsidRPr="00B23505">
        <w:rPr>
          <w:lang w:val="en-CA"/>
        </w:rPr>
        <w:t>Invite students to reflect on the aspects of their personality that they share freely with others and those they prefer to keep hidden. Reinforce that this</w:t>
      </w:r>
      <w:r w:rsidR="00C86432" w:rsidRPr="00B23505">
        <w:rPr>
          <w:lang w:val="en-CA"/>
        </w:rPr>
        <w:br/>
      </w:r>
      <w:r w:rsidRPr="00B23505">
        <w:rPr>
          <w:lang w:val="en-CA"/>
        </w:rPr>
        <w:lastRenderedPageBreak/>
        <w:t>is not an exposé and students should choose aspects of their alter egos that they feel comfortable exploring and sharing. Students may reflect on the following reflective questions independently and/or with a partner:</w:t>
      </w:r>
    </w:p>
    <w:p w14:paraId="45110E38" w14:textId="151687D9" w:rsidR="00283635" w:rsidRPr="00B23505" w:rsidRDefault="00283635" w:rsidP="00324A74">
      <w:pPr>
        <w:pStyle w:val="ListParagraph"/>
        <w:rPr>
          <w:lang w:val="en-CA"/>
        </w:rPr>
      </w:pPr>
      <w:r w:rsidRPr="00B23505">
        <w:rPr>
          <w:lang w:val="en-CA"/>
        </w:rPr>
        <w:t xml:space="preserve">What parts of your personality do you share with others? </w:t>
      </w:r>
    </w:p>
    <w:p w14:paraId="3A5B5E13" w14:textId="1C663EBE" w:rsidR="00283635" w:rsidRPr="00B23505" w:rsidRDefault="00283635" w:rsidP="00324A74">
      <w:pPr>
        <w:pStyle w:val="ListParagraph"/>
        <w:rPr>
          <w:lang w:val="en-CA"/>
        </w:rPr>
      </w:pPr>
      <w:r w:rsidRPr="00B23505">
        <w:rPr>
          <w:lang w:val="en-CA"/>
        </w:rPr>
        <w:t xml:space="preserve">How would others describe you? </w:t>
      </w:r>
    </w:p>
    <w:p w14:paraId="5E34CFAC" w14:textId="014C1560" w:rsidR="00283635" w:rsidRPr="00B23505" w:rsidRDefault="00283635" w:rsidP="00324A74">
      <w:pPr>
        <w:pStyle w:val="ListParagraph"/>
        <w:rPr>
          <w:lang w:val="en-CA"/>
        </w:rPr>
      </w:pPr>
      <w:r w:rsidRPr="00B23505">
        <w:rPr>
          <w:lang w:val="en-CA"/>
        </w:rPr>
        <w:t>What parts of your personality do you hide from others/are</w:t>
      </w:r>
      <w:r w:rsidR="00C86432" w:rsidRPr="00B23505">
        <w:rPr>
          <w:lang w:val="en-CA"/>
        </w:rPr>
        <w:br/>
      </w:r>
      <w:r w:rsidRPr="00B23505">
        <w:rPr>
          <w:lang w:val="en-CA"/>
        </w:rPr>
        <w:t>less</w:t>
      </w:r>
      <w:r w:rsidR="00C86432" w:rsidRPr="00B23505">
        <w:rPr>
          <w:lang w:val="en-CA"/>
        </w:rPr>
        <w:t xml:space="preserve"> </w:t>
      </w:r>
      <w:r w:rsidRPr="00B23505">
        <w:rPr>
          <w:lang w:val="en-CA"/>
        </w:rPr>
        <w:t xml:space="preserve">visible to others? </w:t>
      </w:r>
    </w:p>
    <w:p w14:paraId="2B0FF258" w14:textId="2021ACCB" w:rsidR="00283635" w:rsidRPr="00B23505" w:rsidRDefault="00283635" w:rsidP="00324A74">
      <w:pPr>
        <w:pStyle w:val="ListParagraph"/>
        <w:rPr>
          <w:lang w:val="en-CA"/>
        </w:rPr>
      </w:pPr>
      <w:r w:rsidRPr="00B23505">
        <w:rPr>
          <w:lang w:val="en-CA"/>
        </w:rPr>
        <w:t>This project invites you to explore a hidden side of your personality through the process of creating a gargoyle in the likeness of your alter ego. What aspect(s) of your alter ego are you most interested in exploring through this piece of art?</w:t>
      </w:r>
    </w:p>
    <w:p w14:paraId="1DD0F349" w14:textId="46EEB047" w:rsidR="00283635" w:rsidRPr="00B23505" w:rsidRDefault="00283635" w:rsidP="00324A74">
      <w:pPr>
        <w:pStyle w:val="ListParagraph"/>
        <w:rPr>
          <w:lang w:val="en-CA"/>
        </w:rPr>
      </w:pPr>
      <w:r w:rsidRPr="00B23505">
        <w:rPr>
          <w:lang w:val="en-CA"/>
        </w:rPr>
        <w:t xml:space="preserve">If (this aspect of) your alter ego was a gargoyle, what would they look like? </w:t>
      </w:r>
    </w:p>
    <w:p w14:paraId="7411FEC6" w14:textId="4DED670A" w:rsidR="00283635" w:rsidRDefault="00283635" w:rsidP="00324A74">
      <w:pPr>
        <w:pStyle w:val="ListParagraph"/>
      </w:pPr>
      <w:r w:rsidRPr="00B23505">
        <w:rPr>
          <w:lang w:val="en-CA"/>
        </w:rPr>
        <w:t xml:space="preserve">At this point, students may begin to complete the “Exploring our Alter Egos” handout designed to support them in the creation of a unique gargoyle character inspired by their alter ego(s). </w:t>
      </w:r>
      <w:r>
        <w:t xml:space="preserve">(See handout below.) </w:t>
      </w:r>
    </w:p>
    <w:p w14:paraId="124F8EF4" w14:textId="449C4573" w:rsidR="00283635" w:rsidRPr="00B23505" w:rsidRDefault="004749BC" w:rsidP="00AC666C">
      <w:pPr>
        <w:pStyle w:val="Heading3"/>
        <w:rPr>
          <w:lang w:val="en-CA"/>
        </w:rPr>
      </w:pPr>
      <w:r w:rsidRPr="00B23505">
        <w:rPr>
          <w:lang w:val="en-CA"/>
        </w:rPr>
        <w:br/>
      </w:r>
      <w:r w:rsidR="00283635" w:rsidRPr="00B23505">
        <w:rPr>
          <w:lang w:val="en-CA"/>
        </w:rPr>
        <w:t>Over the next few classes…</w:t>
      </w:r>
    </w:p>
    <w:p w14:paraId="112BD0AE" w14:textId="2796BCE8" w:rsidR="00283635" w:rsidRPr="00B23505" w:rsidRDefault="00283635" w:rsidP="00324A74">
      <w:pPr>
        <w:pStyle w:val="ListParagraph"/>
        <w:rPr>
          <w:lang w:val="en-CA"/>
        </w:rPr>
      </w:pPr>
      <w:r w:rsidRPr="00B23505">
        <w:rPr>
          <w:lang w:val="en-CA"/>
        </w:rPr>
        <w:t>Give students time to smooth and reconnect with clay, while developing a vision for their gargoyles.</w:t>
      </w:r>
    </w:p>
    <w:p w14:paraId="58F152DD" w14:textId="5CD9D4B0" w:rsidR="00283635" w:rsidRDefault="00283635" w:rsidP="00324A74">
      <w:pPr>
        <w:pStyle w:val="ListParagraph"/>
      </w:pPr>
      <w:r w:rsidRPr="00B23505">
        <w:rPr>
          <w:lang w:val="en-CA"/>
        </w:rPr>
        <w:t xml:space="preserve">Provide demos for students and allow students to move at their own pace. </w:t>
      </w:r>
      <w:r>
        <w:t>Demonstrate:</w:t>
      </w:r>
    </w:p>
    <w:p w14:paraId="3D04D635" w14:textId="45CBCD97" w:rsidR="00283635" w:rsidRPr="00B23505" w:rsidRDefault="00283635" w:rsidP="00BA1C44">
      <w:pPr>
        <w:pStyle w:val="Bullets2"/>
        <w:rPr>
          <w:lang w:val="en-CA"/>
        </w:rPr>
      </w:pPr>
      <w:r w:rsidRPr="00B23505">
        <w:rPr>
          <w:lang w:val="en-CA"/>
        </w:rPr>
        <w:t>draped slabs over molded newspaper, dividing the</w:t>
      </w:r>
      <w:r w:rsidR="00BA1C44" w:rsidRPr="00B23505">
        <w:rPr>
          <w:lang w:val="en-CA"/>
        </w:rPr>
        <w:br/>
      </w:r>
      <w:r w:rsidRPr="00B23505">
        <w:rPr>
          <w:lang w:val="en-CA"/>
        </w:rPr>
        <w:t>face</w:t>
      </w:r>
      <w:r w:rsidR="00BA1C44" w:rsidRPr="00B23505">
        <w:rPr>
          <w:lang w:val="en-CA"/>
        </w:rPr>
        <w:t xml:space="preserve"> </w:t>
      </w:r>
      <w:r w:rsidRPr="00B23505">
        <w:rPr>
          <w:lang w:val="en-CA"/>
        </w:rPr>
        <w:t xml:space="preserve">and facial proportions </w:t>
      </w:r>
    </w:p>
    <w:p w14:paraId="7D9A74A2" w14:textId="1EA24F9D" w:rsidR="00283635" w:rsidRPr="00B23505" w:rsidRDefault="00283635" w:rsidP="00BA1C44">
      <w:pPr>
        <w:pStyle w:val="Bullets2"/>
        <w:rPr>
          <w:lang w:val="en-CA"/>
        </w:rPr>
      </w:pPr>
      <w:r w:rsidRPr="00B23505">
        <w:rPr>
          <w:lang w:val="en-CA"/>
        </w:rPr>
        <w:t>hollowing out the eye sockets and skeletal features</w:t>
      </w:r>
    </w:p>
    <w:p w14:paraId="297972B3" w14:textId="53D507BC" w:rsidR="00283635" w:rsidRPr="00B23505" w:rsidRDefault="00283635" w:rsidP="00BA1C44">
      <w:pPr>
        <w:pStyle w:val="Bullets2"/>
        <w:rPr>
          <w:lang w:val="en-CA"/>
        </w:rPr>
      </w:pPr>
      <w:r w:rsidRPr="00B23505">
        <w:rPr>
          <w:lang w:val="en-CA"/>
        </w:rPr>
        <w:t xml:space="preserve">noses, brow bones, chins and cheeks </w:t>
      </w:r>
    </w:p>
    <w:p w14:paraId="3331FCA4" w14:textId="2E969F00" w:rsidR="00283635" w:rsidRDefault="00283635" w:rsidP="00BA1C44">
      <w:pPr>
        <w:pStyle w:val="Bullets2"/>
      </w:pPr>
      <w:r>
        <w:t xml:space="preserve">eyeballs and eyelids </w:t>
      </w:r>
    </w:p>
    <w:p w14:paraId="1FB60196" w14:textId="635E8576" w:rsidR="00283635" w:rsidRPr="00B23505" w:rsidRDefault="00283635" w:rsidP="00324A74">
      <w:pPr>
        <w:pStyle w:val="ListParagraph"/>
        <w:rPr>
          <w:lang w:val="en-CA"/>
        </w:rPr>
      </w:pPr>
      <w:r w:rsidRPr="00B23505">
        <w:rPr>
          <w:lang w:val="en-CA"/>
        </w:rPr>
        <w:t xml:space="preserve">Emphasize the importance of health and safety while working with clay (i.e., silica dust). Cover projects well by spraying them lightly and wrapping them in several layers of soft plastic. </w:t>
      </w:r>
    </w:p>
    <w:p w14:paraId="36A976F8" w14:textId="4BA3EC02" w:rsidR="00283635" w:rsidRPr="00B23505" w:rsidRDefault="00283635" w:rsidP="00D3291A">
      <w:pPr>
        <w:pStyle w:val="BodyText"/>
        <w:rPr>
          <w:lang w:val="en-CA"/>
        </w:rPr>
      </w:pPr>
      <w:r w:rsidRPr="00B23505">
        <w:rPr>
          <w:lang w:val="en-CA"/>
        </w:rPr>
        <w:t>Mid-way through the project, provide an opportunity for students to reflect on</w:t>
      </w:r>
      <w:r w:rsidR="00C86432" w:rsidRPr="00B23505">
        <w:rPr>
          <w:lang w:val="en-CA"/>
        </w:rPr>
        <w:br/>
      </w:r>
      <w:r w:rsidRPr="00B23505">
        <w:rPr>
          <w:lang w:val="en-CA"/>
        </w:rPr>
        <w:t xml:space="preserve">their process and learning. </w:t>
      </w:r>
    </w:p>
    <w:p w14:paraId="789AAF45" w14:textId="77777777" w:rsidR="00283635" w:rsidRDefault="00283635" w:rsidP="00D3291A">
      <w:pPr>
        <w:pStyle w:val="BodyText"/>
      </w:pPr>
      <w:r>
        <w:t>Possible reflective questions:</w:t>
      </w:r>
    </w:p>
    <w:p w14:paraId="6142EDDD" w14:textId="70A4FDBB" w:rsidR="00283635" w:rsidRPr="00B23505" w:rsidRDefault="00283635" w:rsidP="00324A74">
      <w:pPr>
        <w:pStyle w:val="ListParagraph"/>
        <w:rPr>
          <w:lang w:val="en-CA"/>
        </w:rPr>
      </w:pPr>
      <w:r w:rsidRPr="00B23505">
        <w:rPr>
          <w:lang w:val="en-CA"/>
        </w:rPr>
        <w:lastRenderedPageBreak/>
        <w:t>How is my skill level and technique evolving with practice?</w:t>
      </w:r>
    </w:p>
    <w:p w14:paraId="5FAC249B" w14:textId="04A6E8D9" w:rsidR="00283635" w:rsidRDefault="00283635" w:rsidP="00324A74">
      <w:pPr>
        <w:pStyle w:val="ListParagraph"/>
      </w:pPr>
      <w:r w:rsidRPr="00B23505">
        <w:rPr>
          <w:lang w:val="en-CA"/>
        </w:rPr>
        <w:t xml:space="preserve">How am I learning more about myself and my alter-ego?  </w:t>
      </w:r>
      <w:r>
        <w:t>Examples....</w:t>
      </w:r>
    </w:p>
    <w:p w14:paraId="6A0528AB" w14:textId="123F6E54" w:rsidR="00283635" w:rsidRPr="00B23505" w:rsidRDefault="00283635" w:rsidP="00324A74">
      <w:pPr>
        <w:pStyle w:val="ListParagraph"/>
        <w:rPr>
          <w:lang w:val="en-CA"/>
        </w:rPr>
      </w:pPr>
      <w:r w:rsidRPr="00B23505">
        <w:rPr>
          <w:lang w:val="en-CA"/>
        </w:rPr>
        <w:t xml:space="preserve">How am I making this project personally meaningful? </w:t>
      </w:r>
    </w:p>
    <w:p w14:paraId="62F62A92" w14:textId="26784769" w:rsidR="00283635" w:rsidRPr="00B23505" w:rsidRDefault="00283635" w:rsidP="00324A74">
      <w:pPr>
        <w:pStyle w:val="ListParagraph"/>
        <w:rPr>
          <w:lang w:val="en-CA"/>
        </w:rPr>
      </w:pPr>
      <w:r w:rsidRPr="00B23505">
        <w:rPr>
          <w:lang w:val="en-CA"/>
        </w:rPr>
        <w:t>What discoveries am I making, either technically, visually or personally?</w:t>
      </w:r>
    </w:p>
    <w:p w14:paraId="660CE5C2" w14:textId="2CA62CE6" w:rsidR="00283635" w:rsidRPr="00B23505" w:rsidRDefault="00283635" w:rsidP="00D3291A">
      <w:pPr>
        <w:pStyle w:val="BodyText"/>
        <w:rPr>
          <w:lang w:val="en-CA"/>
        </w:rPr>
      </w:pPr>
      <w:r w:rsidRPr="00B23505">
        <w:rPr>
          <w:lang w:val="en-CA"/>
        </w:rPr>
        <w:t xml:space="preserve">This point in the project is also a good time to have students participate in a gallery walk and talk. Students may share their work with others explaining “What is working for me is… What is not working for me is...”. This is an opportunity for students to give and receive formative feedback from their peers. </w:t>
      </w:r>
    </w:p>
    <w:p w14:paraId="383DDC88" w14:textId="7C46D668" w:rsidR="00283635" w:rsidRPr="00B23505" w:rsidRDefault="004749BC" w:rsidP="00AC666C">
      <w:pPr>
        <w:pStyle w:val="Heading3"/>
        <w:rPr>
          <w:lang w:val="en-CA"/>
        </w:rPr>
      </w:pPr>
      <w:r w:rsidRPr="00B23505">
        <w:rPr>
          <w:lang w:val="en-CA"/>
        </w:rPr>
        <w:br/>
      </w:r>
      <w:r w:rsidR="00283635" w:rsidRPr="00B23505">
        <w:rPr>
          <w:lang w:val="en-CA"/>
        </w:rPr>
        <w:t>Optional activity: Two Stars and a Wish</w:t>
      </w:r>
    </w:p>
    <w:p w14:paraId="3842150A" w14:textId="77777777" w:rsidR="00283635" w:rsidRPr="00B23505" w:rsidRDefault="00283635" w:rsidP="00D3291A">
      <w:pPr>
        <w:pStyle w:val="BodyText"/>
        <w:rPr>
          <w:lang w:val="en-CA"/>
        </w:rPr>
      </w:pPr>
      <w:r w:rsidRPr="00B23505">
        <w:rPr>
          <w:lang w:val="en-CA"/>
        </w:rPr>
        <w:t>As a class, conduct respectful group critiques that encourage growth. Artists should have an opportunity to speak to their work – what they are hoping to achieve and represent with their gargoyles. Feedback from peers should be strength-based and helpful. The teacher may wish to pose the following questions to encourage positive dialogue:</w:t>
      </w:r>
    </w:p>
    <w:p w14:paraId="5A2DECFC" w14:textId="01B0E20B" w:rsidR="00283635" w:rsidRPr="00B23505" w:rsidRDefault="00283635" w:rsidP="00324A74">
      <w:pPr>
        <w:pStyle w:val="ListParagraph"/>
        <w:rPr>
          <w:lang w:val="en-CA"/>
        </w:rPr>
      </w:pPr>
      <w:r w:rsidRPr="00B23505">
        <w:rPr>
          <w:lang w:val="en-CA"/>
        </w:rPr>
        <w:t xml:space="preserve">How has the artist effectively “expressed meaning, intent, and emotions through their artistic work?” </w:t>
      </w:r>
    </w:p>
    <w:p w14:paraId="2EE95CE9" w14:textId="79DC677B" w:rsidR="00283635" w:rsidRPr="00B23505" w:rsidRDefault="00283635" w:rsidP="00324A74">
      <w:pPr>
        <w:pStyle w:val="ListParagraph"/>
        <w:rPr>
          <w:lang w:val="en-CA"/>
        </w:rPr>
      </w:pPr>
      <w:r w:rsidRPr="00B23505">
        <w:rPr>
          <w:lang w:val="en-CA"/>
        </w:rPr>
        <w:t xml:space="preserve">How are they “demonstrating awareness of self through this artistic work?” </w:t>
      </w:r>
    </w:p>
    <w:p w14:paraId="499E168F" w14:textId="40EDC261" w:rsidR="00283635" w:rsidRDefault="004749BC" w:rsidP="00AC666C">
      <w:pPr>
        <w:pStyle w:val="Heading3"/>
      </w:pPr>
      <w:r w:rsidRPr="00B23505">
        <w:rPr>
          <w:lang w:val="en-CA"/>
        </w:rPr>
        <w:br/>
      </w:r>
      <w:r w:rsidR="00283635">
        <w:t>Stars</w:t>
      </w:r>
    </w:p>
    <w:p w14:paraId="50D44377" w14:textId="177ACF53" w:rsidR="00283635" w:rsidRPr="00B23505" w:rsidRDefault="00283635" w:rsidP="00324A74">
      <w:pPr>
        <w:pStyle w:val="ListParagraph"/>
        <w:rPr>
          <w:lang w:val="en-CA"/>
        </w:rPr>
      </w:pPr>
      <w:r w:rsidRPr="00B23505">
        <w:rPr>
          <w:lang w:val="en-CA"/>
        </w:rPr>
        <w:t>What is the strength of this piece and why?</w:t>
      </w:r>
    </w:p>
    <w:p w14:paraId="7A2D0C0F" w14:textId="5D707473" w:rsidR="00283635" w:rsidRPr="00B23505" w:rsidRDefault="00283635" w:rsidP="00324A74">
      <w:pPr>
        <w:pStyle w:val="ListParagraph"/>
        <w:rPr>
          <w:lang w:val="en-CA"/>
        </w:rPr>
      </w:pPr>
      <w:r w:rsidRPr="00B23505">
        <w:rPr>
          <w:lang w:val="en-CA"/>
        </w:rPr>
        <w:t>What do you personally like about this piece, and why?</w:t>
      </w:r>
    </w:p>
    <w:p w14:paraId="2D34A7DE" w14:textId="3E303CB0" w:rsidR="00283635" w:rsidRDefault="00283635" w:rsidP="00324A74">
      <w:pPr>
        <w:pStyle w:val="ListParagraph"/>
      </w:pPr>
      <w:r w:rsidRPr="00B23505">
        <w:rPr>
          <w:lang w:val="en-CA"/>
        </w:rPr>
        <w:t xml:space="preserve">What aspect do you feel is most creative? </w:t>
      </w:r>
      <w:r>
        <w:t>Effective?</w:t>
      </w:r>
    </w:p>
    <w:p w14:paraId="5818B269" w14:textId="77777777" w:rsidR="00283635" w:rsidRDefault="00283635" w:rsidP="00324A74">
      <w:pPr>
        <w:pStyle w:val="ListParagraph"/>
      </w:pPr>
      <w:r>
        <w:t>Wish</w:t>
      </w:r>
    </w:p>
    <w:p w14:paraId="468139EA" w14:textId="1FA5FE70" w:rsidR="00283635" w:rsidRPr="00B23505" w:rsidRDefault="00283635" w:rsidP="00324A74">
      <w:pPr>
        <w:pStyle w:val="ListParagraph"/>
        <w:rPr>
          <w:lang w:val="en-CA"/>
        </w:rPr>
      </w:pPr>
      <w:r w:rsidRPr="00B23505">
        <w:rPr>
          <w:lang w:val="en-CA"/>
        </w:rPr>
        <w:t>If you were to improve one thing, what would it be?  How would</w:t>
      </w:r>
      <w:r w:rsidR="0015235A" w:rsidRPr="00B23505">
        <w:rPr>
          <w:lang w:val="en-CA"/>
        </w:rPr>
        <w:br/>
      </w:r>
      <w:r w:rsidRPr="00B23505">
        <w:rPr>
          <w:lang w:val="en-CA"/>
        </w:rPr>
        <w:t>you improve it?</w:t>
      </w:r>
    </w:p>
    <w:p w14:paraId="3533CA8B" w14:textId="478E80BE" w:rsidR="00283635" w:rsidRDefault="004749BC" w:rsidP="00AC666C">
      <w:pPr>
        <w:pStyle w:val="Heading3"/>
      </w:pPr>
      <w:r w:rsidRPr="00B23505">
        <w:rPr>
          <w:lang w:val="en-CA"/>
        </w:rPr>
        <w:br/>
      </w:r>
      <w:r w:rsidR="00283635">
        <w:t xml:space="preserve">In the final days… </w:t>
      </w:r>
    </w:p>
    <w:p w14:paraId="1EEE15E2" w14:textId="00646573" w:rsidR="00283635" w:rsidRPr="00B23505" w:rsidRDefault="00283635" w:rsidP="00324A74">
      <w:pPr>
        <w:pStyle w:val="ListParagraph"/>
        <w:rPr>
          <w:lang w:val="en-CA"/>
        </w:rPr>
      </w:pPr>
      <w:r w:rsidRPr="00B23505">
        <w:rPr>
          <w:lang w:val="en-CA"/>
        </w:rPr>
        <w:t xml:space="preserve">Demonstrate how to hollow out the back to avoid cracking and kiln explosions. Show students how to use a tool to measure thickness in several areas, especially the nose. </w:t>
      </w:r>
    </w:p>
    <w:p w14:paraId="2ECA3B58" w14:textId="2694A400" w:rsidR="00283635" w:rsidRPr="00B23505" w:rsidRDefault="00283635" w:rsidP="00324A74">
      <w:pPr>
        <w:pStyle w:val="ListParagraph"/>
        <w:rPr>
          <w:lang w:val="en-CA"/>
        </w:rPr>
      </w:pPr>
      <w:r w:rsidRPr="00B23505">
        <w:rPr>
          <w:lang w:val="en-CA"/>
        </w:rPr>
        <w:t xml:space="preserve">Hair, horns and other head adornments should be added last. </w:t>
      </w:r>
    </w:p>
    <w:p w14:paraId="1F537A4F" w14:textId="3A1619D4" w:rsidR="00283635" w:rsidRPr="00B23505" w:rsidRDefault="00283635" w:rsidP="00324A74">
      <w:pPr>
        <w:pStyle w:val="ListParagraph"/>
        <w:rPr>
          <w:lang w:val="en-CA"/>
        </w:rPr>
      </w:pPr>
      <w:r w:rsidRPr="00B23505">
        <w:rPr>
          <w:lang w:val="en-CA"/>
        </w:rPr>
        <w:lastRenderedPageBreak/>
        <w:t>Finish with holes on either side of the head for threading wiring though after the firing. This will allow the gargoyle to be mounted or hung.</w:t>
      </w:r>
    </w:p>
    <w:p w14:paraId="6087EC48" w14:textId="2F6468D2" w:rsidR="00283635" w:rsidRPr="00B23505" w:rsidRDefault="00283635" w:rsidP="00324A74">
      <w:pPr>
        <w:pStyle w:val="ListParagraph"/>
        <w:rPr>
          <w:lang w:val="en-CA"/>
        </w:rPr>
      </w:pPr>
      <w:r w:rsidRPr="00B23505">
        <w:rPr>
          <w:lang w:val="en-CA"/>
        </w:rPr>
        <w:t>Allow four days for projects to dry slowly under a light layer of plastic.</w:t>
      </w:r>
    </w:p>
    <w:p w14:paraId="59808037" w14:textId="7CE9B62D" w:rsidR="00283635" w:rsidRPr="00B23505" w:rsidRDefault="00283635" w:rsidP="00324A74">
      <w:pPr>
        <w:pStyle w:val="ListParagraph"/>
        <w:rPr>
          <w:lang w:val="en-CA"/>
        </w:rPr>
      </w:pPr>
      <w:r w:rsidRPr="00B23505">
        <w:rPr>
          <w:lang w:val="en-CA"/>
        </w:rPr>
        <w:t>Remove plastic for the last two days of drying. More drying may be needed.</w:t>
      </w:r>
    </w:p>
    <w:p w14:paraId="31C393B3" w14:textId="2CFEC639" w:rsidR="00283635" w:rsidRPr="00B23505" w:rsidRDefault="00283635" w:rsidP="00324A74">
      <w:pPr>
        <w:pStyle w:val="ListParagraph"/>
        <w:rPr>
          <w:lang w:val="en-CA"/>
        </w:rPr>
      </w:pPr>
      <w:r w:rsidRPr="00B23505">
        <w:rPr>
          <w:lang w:val="en-CA"/>
        </w:rPr>
        <w:t>Load kiln for a cone 06 bisque firing.</w:t>
      </w:r>
    </w:p>
    <w:p w14:paraId="37060C13" w14:textId="45074582" w:rsidR="00283635" w:rsidRPr="00B23505" w:rsidRDefault="00283635" w:rsidP="00324A74">
      <w:pPr>
        <w:pStyle w:val="ListParagraph"/>
        <w:rPr>
          <w:lang w:val="en-CA"/>
        </w:rPr>
      </w:pPr>
      <w:r w:rsidRPr="00B23505">
        <w:rPr>
          <w:lang w:val="en-CA"/>
        </w:rPr>
        <w:t xml:space="preserve">Candle overnight then allow at least 14 hours to fire. Thicker work needs a slow firing to avoid cracks and explosions from unevenness, trapped air bubbles or thick areas such as the nose. </w:t>
      </w:r>
    </w:p>
    <w:p w14:paraId="7E0A0AC4" w14:textId="43026D09" w:rsidR="00283635" w:rsidRPr="00B23505" w:rsidRDefault="00283635" w:rsidP="00324A74">
      <w:pPr>
        <w:pStyle w:val="ListParagraph"/>
        <w:rPr>
          <w:lang w:val="en-CA"/>
        </w:rPr>
      </w:pPr>
      <w:r w:rsidRPr="00B23505">
        <w:rPr>
          <w:lang w:val="en-CA"/>
        </w:rPr>
        <w:t xml:space="preserve">Allow a day to cool then unload. </w:t>
      </w:r>
    </w:p>
    <w:p w14:paraId="624C078C" w14:textId="4F1DBFD2" w:rsidR="00283635" w:rsidRPr="00B23505" w:rsidRDefault="00283635" w:rsidP="00324A74">
      <w:pPr>
        <w:pStyle w:val="ListParagraph"/>
        <w:rPr>
          <w:lang w:val="en-CA"/>
        </w:rPr>
      </w:pPr>
      <w:r w:rsidRPr="00B23505">
        <w:rPr>
          <w:lang w:val="en-CA"/>
        </w:rPr>
        <w:t xml:space="preserve">Complete gargoyles with layered washes of oxides and stains. Alternatively, acrylic paint washes can be used but it is important to note that the more they layer, the deeper the effect. </w:t>
      </w:r>
    </w:p>
    <w:p w14:paraId="19CA79ED" w14:textId="673A867B" w:rsidR="00283635" w:rsidRPr="00B23505" w:rsidRDefault="00283635" w:rsidP="00324A74">
      <w:pPr>
        <w:pStyle w:val="ListParagraph"/>
        <w:rPr>
          <w:lang w:val="en-CA"/>
        </w:rPr>
      </w:pPr>
      <w:r w:rsidRPr="00B23505">
        <w:rPr>
          <w:lang w:val="en-CA"/>
        </w:rPr>
        <w:t>After bisque firing, students may add found objects to decorate</w:t>
      </w:r>
      <w:r w:rsidR="00065D73" w:rsidRPr="00B23505">
        <w:rPr>
          <w:lang w:val="en-CA"/>
        </w:rPr>
        <w:br/>
      </w:r>
      <w:r w:rsidRPr="00B23505">
        <w:rPr>
          <w:lang w:val="en-CA"/>
        </w:rPr>
        <w:t xml:space="preserve">their gargoyles. </w:t>
      </w:r>
    </w:p>
    <w:p w14:paraId="07B43A70" w14:textId="23B2A4CB" w:rsidR="00283635" w:rsidRPr="00B23505" w:rsidRDefault="00283635" w:rsidP="00324A74">
      <w:pPr>
        <w:pStyle w:val="ListParagraph"/>
        <w:rPr>
          <w:lang w:val="en-CA"/>
        </w:rPr>
      </w:pPr>
      <w:r w:rsidRPr="00B23505">
        <w:rPr>
          <w:lang w:val="en-CA"/>
        </w:rPr>
        <w:t xml:space="preserve">Showcase students’ gargoyles with framed “Exploring our Alter Egos” handouts. </w:t>
      </w:r>
    </w:p>
    <w:p w14:paraId="38C39911" w14:textId="0D814455" w:rsidR="00283635" w:rsidRPr="00B23505" w:rsidRDefault="00283635" w:rsidP="00AC666C">
      <w:pPr>
        <w:pStyle w:val="Heading2"/>
        <w:rPr>
          <w:lang w:val="en-CA"/>
        </w:rPr>
      </w:pPr>
      <w:r w:rsidRPr="00B23505">
        <w:rPr>
          <w:lang w:val="en-CA"/>
        </w:rPr>
        <w:t xml:space="preserve">Additional Assessment Tools </w:t>
      </w:r>
    </w:p>
    <w:p w14:paraId="42D3E7FC" w14:textId="77777777" w:rsidR="00283635" w:rsidRPr="00B23505" w:rsidRDefault="00283635" w:rsidP="00AC666C">
      <w:pPr>
        <w:pStyle w:val="Heading3"/>
        <w:rPr>
          <w:lang w:val="en-CA"/>
        </w:rPr>
      </w:pPr>
      <w:r w:rsidRPr="00B23505">
        <w:rPr>
          <w:lang w:val="en-CA"/>
        </w:rPr>
        <w:t xml:space="preserve">Visual Journals </w:t>
      </w:r>
    </w:p>
    <w:p w14:paraId="56777AF9" w14:textId="77777777" w:rsidR="00283635" w:rsidRPr="00B23505" w:rsidRDefault="00283635" w:rsidP="00D3291A">
      <w:pPr>
        <w:pStyle w:val="BodyText"/>
        <w:rPr>
          <w:lang w:val="en-CA"/>
        </w:rPr>
      </w:pPr>
      <w:r w:rsidRPr="00B23505">
        <w:rPr>
          <w:lang w:val="en-CA"/>
        </w:rPr>
        <w:t xml:space="preserve">Students may keep a daily Visual Journal to document questions, reflections, progress and personal goals. Visual Journals can be used when experiencing a creative block, after clean-up, or while taking a reflective break from building their projects. Teachers may wish to review student journals to gain greater insight into how students are progressing with their work and identifying where additional support may be needed.    </w:t>
      </w:r>
    </w:p>
    <w:p w14:paraId="0F00AF2E" w14:textId="5C01AE74" w:rsidR="00283635" w:rsidRPr="00B23505" w:rsidRDefault="004749BC" w:rsidP="00AC666C">
      <w:pPr>
        <w:pStyle w:val="Heading3"/>
        <w:rPr>
          <w:lang w:val="en-CA"/>
        </w:rPr>
      </w:pPr>
      <w:r w:rsidRPr="00B23505">
        <w:rPr>
          <w:lang w:val="en-CA"/>
        </w:rPr>
        <w:br/>
      </w:r>
      <w:r w:rsidR="00283635" w:rsidRPr="00B23505">
        <w:rPr>
          <w:lang w:val="en-CA"/>
        </w:rPr>
        <w:t xml:space="preserve">Teacher’s Observational Notes </w:t>
      </w:r>
    </w:p>
    <w:p w14:paraId="284D293E" w14:textId="77777777" w:rsidR="00283635" w:rsidRPr="00B23505" w:rsidRDefault="00283635" w:rsidP="00B61A0F">
      <w:pPr>
        <w:pStyle w:val="BodyText"/>
        <w:rPr>
          <w:lang w:val="en-CA"/>
        </w:rPr>
      </w:pPr>
      <w:r w:rsidRPr="00B23505">
        <w:rPr>
          <w:lang w:val="en-CA"/>
        </w:rPr>
        <w:t>Teachers may track student engagement by observing and noting how often the student is:</w:t>
      </w:r>
    </w:p>
    <w:p w14:paraId="3333E579" w14:textId="5C5CB44C" w:rsidR="00283635" w:rsidRDefault="00283635" w:rsidP="00324A74">
      <w:pPr>
        <w:pStyle w:val="ListParagraph"/>
      </w:pPr>
      <w:r>
        <w:t xml:space="preserve">on task and focused </w:t>
      </w:r>
    </w:p>
    <w:p w14:paraId="68F72467" w14:textId="6B7DBB39" w:rsidR="00283635" w:rsidRPr="00B23505" w:rsidRDefault="00283635" w:rsidP="00324A74">
      <w:pPr>
        <w:pStyle w:val="ListParagraph"/>
        <w:rPr>
          <w:lang w:val="en-CA"/>
        </w:rPr>
      </w:pPr>
      <w:r w:rsidRPr="00B23505">
        <w:rPr>
          <w:lang w:val="en-CA"/>
        </w:rPr>
        <w:t>applying techniques and skills that were illustrated during teacher’s demonstration</w:t>
      </w:r>
    </w:p>
    <w:p w14:paraId="6C3C6E43" w14:textId="51845DF6" w:rsidR="00283635" w:rsidRPr="00B23505" w:rsidRDefault="00283635" w:rsidP="00324A74">
      <w:pPr>
        <w:pStyle w:val="ListParagraph"/>
        <w:rPr>
          <w:lang w:val="en-CA"/>
        </w:rPr>
      </w:pPr>
      <w:r w:rsidRPr="00B23505">
        <w:rPr>
          <w:lang w:val="en-CA"/>
        </w:rPr>
        <w:t>stretching their abilities by taking risks; learning new techniques; applying creative self-expression</w:t>
      </w:r>
    </w:p>
    <w:p w14:paraId="655F014A" w14:textId="5E1581B4" w:rsidR="00283635" w:rsidRPr="00B23505" w:rsidRDefault="00283635" w:rsidP="00324A74">
      <w:pPr>
        <w:pStyle w:val="ListParagraph"/>
        <w:rPr>
          <w:lang w:val="en-CA"/>
        </w:rPr>
      </w:pPr>
      <w:r w:rsidRPr="00B23505">
        <w:rPr>
          <w:lang w:val="en-CA"/>
        </w:rPr>
        <w:lastRenderedPageBreak/>
        <w:t>respecting and caring for tools, materials, equipment, workspace through correct handling, maintenance and cleaning</w:t>
      </w:r>
    </w:p>
    <w:p w14:paraId="1E2713DB" w14:textId="77777777" w:rsidR="00903DC4" w:rsidRPr="00B23505" w:rsidRDefault="004749BC" w:rsidP="00AC666C">
      <w:pPr>
        <w:pStyle w:val="Heading3"/>
        <w:rPr>
          <w:lang w:val="en-CA"/>
        </w:rPr>
      </w:pPr>
      <w:r w:rsidRPr="00B23505">
        <w:rPr>
          <w:lang w:val="en-CA"/>
        </w:rPr>
        <w:br/>
      </w:r>
    </w:p>
    <w:p w14:paraId="737CB3BA" w14:textId="77777777" w:rsidR="00903DC4" w:rsidRPr="00B23505" w:rsidRDefault="00903DC4">
      <w:pPr>
        <w:rPr>
          <w:rFonts w:ascii="Arial" w:eastAsia="Arial" w:hAnsi="Arial" w:cs="Arial"/>
          <w:b/>
          <w:bCs/>
          <w:iCs w:val="0"/>
          <w:noProof/>
          <w:color w:val="595959" w:themeColor="text1" w:themeTint="A6"/>
          <w:sz w:val="28"/>
          <w:szCs w:val="28"/>
        </w:rPr>
      </w:pPr>
      <w:r>
        <w:br w:type="page"/>
      </w:r>
    </w:p>
    <w:p w14:paraId="7E4A9BC9" w14:textId="5C3189B4" w:rsidR="00283635" w:rsidRPr="00B23505" w:rsidRDefault="00283635" w:rsidP="00AC666C">
      <w:pPr>
        <w:pStyle w:val="Heading3"/>
        <w:rPr>
          <w:lang w:val="en-CA"/>
        </w:rPr>
      </w:pPr>
      <w:r w:rsidRPr="00B23505">
        <w:rPr>
          <w:lang w:val="en-CA"/>
        </w:rPr>
        <w:lastRenderedPageBreak/>
        <w:t xml:space="preserve">Student Self-assessment of Curricular Competencies </w:t>
      </w:r>
    </w:p>
    <w:p w14:paraId="0F47623D" w14:textId="7A1DC056" w:rsidR="00283635" w:rsidRPr="00B23505" w:rsidRDefault="00283635" w:rsidP="00324A74">
      <w:pPr>
        <w:pStyle w:val="ListParagraph"/>
        <w:rPr>
          <w:lang w:val="en-CA"/>
        </w:rPr>
      </w:pPr>
      <w:r w:rsidRPr="00B23505">
        <w:rPr>
          <w:lang w:val="en-CA"/>
        </w:rPr>
        <w:t xml:space="preserve">Express meaning, intent, and emotions through 3D artistic works </w:t>
      </w:r>
    </w:p>
    <w:p w14:paraId="40906725" w14:textId="62689D4C" w:rsidR="00283635" w:rsidRPr="00B23505" w:rsidRDefault="00283635" w:rsidP="00324A74">
      <w:pPr>
        <w:pStyle w:val="ListParagraph"/>
        <w:rPr>
          <w:lang w:val="en-CA"/>
        </w:rPr>
      </w:pPr>
      <w:r w:rsidRPr="00B23505">
        <w:rPr>
          <w:lang w:val="en-CA"/>
        </w:rPr>
        <w:t xml:space="preserve">Demonstrate safe and responsible use of materials, tools, and work space </w:t>
      </w:r>
    </w:p>
    <w:p w14:paraId="7ED1DDFD" w14:textId="342B0038" w:rsidR="00283635" w:rsidRPr="00B23505" w:rsidRDefault="00283635" w:rsidP="00324A74">
      <w:pPr>
        <w:pStyle w:val="ListParagraph"/>
        <w:rPr>
          <w:lang w:val="en-CA"/>
        </w:rPr>
      </w:pPr>
      <w:r w:rsidRPr="00B23505">
        <w:rPr>
          <w:lang w:val="en-CA"/>
        </w:rPr>
        <w:t xml:space="preserve">Develop/reflect on personal answers to aesthetic questions </w:t>
      </w:r>
    </w:p>
    <w:p w14:paraId="543E3429" w14:textId="626768C4" w:rsidR="00283635" w:rsidRPr="00B23505" w:rsidRDefault="00283635" w:rsidP="00324A74">
      <w:pPr>
        <w:pStyle w:val="ListParagraph"/>
        <w:rPr>
          <w:lang w:val="en-CA"/>
        </w:rPr>
      </w:pPr>
      <w:r w:rsidRPr="00B23505">
        <w:rPr>
          <w:lang w:val="en-CA"/>
        </w:rPr>
        <w:t>Demonstrate awareness of/respect for self, others and place</w:t>
      </w:r>
    </w:p>
    <w:p w14:paraId="7163EF78" w14:textId="1A873E12" w:rsidR="00065D73" w:rsidRPr="00B23505" w:rsidRDefault="00283635" w:rsidP="00324A74">
      <w:pPr>
        <w:pStyle w:val="ListParagraph"/>
        <w:rPr>
          <w:lang w:val="en-CA"/>
        </w:rPr>
      </w:pPr>
      <w:r w:rsidRPr="00B23505">
        <w:rPr>
          <w:lang w:val="en-CA"/>
        </w:rPr>
        <w:t>Create artistic works to reflect personal voice, story and values (Grades 11 and 12)</w:t>
      </w:r>
    </w:p>
    <w:p w14:paraId="57D82819" w14:textId="7359F6EF" w:rsidR="00283635" w:rsidRPr="00B23505" w:rsidRDefault="00065D73" w:rsidP="00065D73">
      <w:pPr>
        <w:rPr>
          <w:rFonts w:ascii="Arial" w:eastAsia="Arial" w:hAnsi="Arial" w:cs="Arial"/>
          <w:iCs w:val="0"/>
          <w:noProof/>
          <w:sz w:val="22"/>
          <w:szCs w:val="22"/>
        </w:rPr>
      </w:pPr>
      <w:r>
        <w:br w:type="page"/>
      </w:r>
    </w:p>
    <w:p w14:paraId="2CACAFE6" w14:textId="72E66891" w:rsidR="00283635" w:rsidRPr="00B23505" w:rsidRDefault="00283635" w:rsidP="0015235A">
      <w:pPr>
        <w:pStyle w:val="BodyText"/>
        <w:rPr>
          <w:lang w:val="en-CA"/>
        </w:rPr>
      </w:pPr>
      <w:r w:rsidRPr="00B23505">
        <w:rPr>
          <w:lang w:val="en-CA"/>
        </w:rPr>
        <w:lastRenderedPageBreak/>
        <w:t>I can express meaning, intent, and emotions through 3D artistic works.</w:t>
      </w:r>
    </w:p>
    <w:p w14:paraId="341E2A9C" w14:textId="77777777" w:rsidR="0015235A" w:rsidRPr="00B23505" w:rsidRDefault="00283635" w:rsidP="0015235A">
      <w:pPr>
        <w:pStyle w:val="BodyText"/>
        <w:rPr>
          <w:lang w:val="en-CA"/>
        </w:rPr>
      </w:pPr>
      <w:r w:rsidRPr="00B23505">
        <w:rPr>
          <w:lang w:val="en-CA"/>
        </w:rPr>
        <w:t>For example, I achieved this by</w:t>
      </w:r>
    </w:p>
    <w:p w14:paraId="045570FA" w14:textId="77777777" w:rsidR="0015235A" w:rsidRPr="00B23505" w:rsidRDefault="0015235A" w:rsidP="0015235A">
      <w:pPr>
        <w:pStyle w:val="BodyText"/>
        <w:rPr>
          <w:lang w:val="en-CA"/>
        </w:rPr>
      </w:pPr>
      <w:r w:rsidRPr="00B23505">
        <w:rPr>
          <w:lang w:val="en-CA"/>
        </w:rPr>
        <w:t>_________________________________________________________________________</w:t>
      </w:r>
    </w:p>
    <w:p w14:paraId="1D075B39" w14:textId="7AE81297" w:rsidR="00283635" w:rsidRPr="00B23505" w:rsidRDefault="00283635" w:rsidP="0015235A">
      <w:pPr>
        <w:pStyle w:val="BodyText"/>
        <w:rPr>
          <w:lang w:val="en-CA"/>
        </w:rPr>
      </w:pPr>
      <w:r w:rsidRPr="00B23505">
        <w:rPr>
          <w:lang w:val="en-CA"/>
        </w:rPr>
        <w:t>I can demonstrate safe and responsible use of materials, tools, and work space.</w:t>
      </w:r>
    </w:p>
    <w:p w14:paraId="2E2F987A" w14:textId="77777777" w:rsidR="0015235A" w:rsidRPr="00B23505" w:rsidRDefault="00283635" w:rsidP="0015235A">
      <w:pPr>
        <w:pStyle w:val="BodyText"/>
        <w:rPr>
          <w:lang w:val="en-CA"/>
        </w:rPr>
      </w:pPr>
      <w:r w:rsidRPr="00B23505">
        <w:rPr>
          <w:lang w:val="en-CA"/>
        </w:rPr>
        <w:t>For example, I achieved this by</w:t>
      </w:r>
    </w:p>
    <w:p w14:paraId="72F93930" w14:textId="77777777" w:rsidR="0015235A" w:rsidRPr="00B23505" w:rsidRDefault="0015235A" w:rsidP="0015235A">
      <w:pPr>
        <w:pStyle w:val="BodyText"/>
        <w:rPr>
          <w:lang w:val="en-CA"/>
        </w:rPr>
      </w:pPr>
      <w:r w:rsidRPr="00B23505">
        <w:rPr>
          <w:lang w:val="en-CA"/>
        </w:rPr>
        <w:t>_________________________________________________________________________</w:t>
      </w:r>
    </w:p>
    <w:p w14:paraId="4D83E67E" w14:textId="7787C222" w:rsidR="00283635" w:rsidRPr="00B23505" w:rsidRDefault="00283635" w:rsidP="0015235A">
      <w:pPr>
        <w:pStyle w:val="BodyText"/>
        <w:rPr>
          <w:lang w:val="en-CA"/>
        </w:rPr>
      </w:pPr>
      <w:r w:rsidRPr="00B23505">
        <w:rPr>
          <w:lang w:val="en-CA"/>
        </w:rPr>
        <w:t xml:space="preserve">I can develop/reflect on personal answers to aesthetic questions </w:t>
      </w:r>
    </w:p>
    <w:p w14:paraId="3D6001E3" w14:textId="77777777" w:rsidR="0015235A" w:rsidRPr="00B23505" w:rsidRDefault="00283635" w:rsidP="0015235A">
      <w:pPr>
        <w:pStyle w:val="BodyText"/>
        <w:rPr>
          <w:lang w:val="en-CA"/>
        </w:rPr>
      </w:pPr>
      <w:r w:rsidRPr="00B23505">
        <w:rPr>
          <w:lang w:val="en-CA"/>
        </w:rPr>
        <w:t xml:space="preserve">For example, I achieved this </w:t>
      </w:r>
    </w:p>
    <w:p w14:paraId="27353E4E" w14:textId="77777777" w:rsidR="0015235A" w:rsidRPr="00B23505" w:rsidRDefault="0015235A" w:rsidP="0015235A">
      <w:pPr>
        <w:pStyle w:val="BodyText"/>
        <w:rPr>
          <w:lang w:val="en-CA"/>
        </w:rPr>
      </w:pPr>
      <w:r w:rsidRPr="00B23505">
        <w:rPr>
          <w:lang w:val="en-CA"/>
        </w:rPr>
        <w:t>_________________________________________________________________________</w:t>
      </w:r>
    </w:p>
    <w:p w14:paraId="43820C9D" w14:textId="6AC908B5" w:rsidR="00283635" w:rsidRPr="00B23505" w:rsidRDefault="00283635" w:rsidP="0015235A">
      <w:pPr>
        <w:pStyle w:val="BodyText"/>
        <w:rPr>
          <w:lang w:val="en-CA"/>
        </w:rPr>
      </w:pPr>
      <w:r w:rsidRPr="00B23505">
        <w:rPr>
          <w:lang w:val="en-CA"/>
        </w:rPr>
        <w:t>I can demonstrate awareness of/respect for self, others and place</w:t>
      </w:r>
    </w:p>
    <w:p w14:paraId="12378FCA" w14:textId="77777777" w:rsidR="0015235A" w:rsidRPr="00B23505" w:rsidRDefault="00283635" w:rsidP="0015235A">
      <w:pPr>
        <w:pStyle w:val="BodyText"/>
        <w:rPr>
          <w:lang w:val="en-CA"/>
        </w:rPr>
      </w:pPr>
      <w:r w:rsidRPr="00B23505">
        <w:rPr>
          <w:lang w:val="en-CA"/>
        </w:rPr>
        <w:t xml:space="preserve">For example, I achieved this </w:t>
      </w:r>
      <w:r w:rsidR="0015235A" w:rsidRPr="00B23505">
        <w:rPr>
          <w:lang w:val="en-CA"/>
        </w:rPr>
        <w:t>by</w:t>
      </w:r>
    </w:p>
    <w:p w14:paraId="7893F84B" w14:textId="77777777" w:rsidR="0015235A" w:rsidRPr="00B23505" w:rsidRDefault="0015235A" w:rsidP="0015235A">
      <w:pPr>
        <w:pStyle w:val="BodyText"/>
        <w:rPr>
          <w:lang w:val="en-CA"/>
        </w:rPr>
      </w:pPr>
      <w:r w:rsidRPr="00B23505">
        <w:rPr>
          <w:lang w:val="en-CA"/>
        </w:rPr>
        <w:t>_________________________________________________________________________</w:t>
      </w:r>
    </w:p>
    <w:p w14:paraId="5D058857" w14:textId="6D87EA61" w:rsidR="00283635" w:rsidRPr="00B23505" w:rsidRDefault="00283635" w:rsidP="0015235A">
      <w:pPr>
        <w:pStyle w:val="BodyText"/>
        <w:rPr>
          <w:lang w:val="en-CA"/>
        </w:rPr>
      </w:pPr>
      <w:r w:rsidRPr="00B23505">
        <w:rPr>
          <w:lang w:val="en-CA"/>
        </w:rPr>
        <w:t>I can create artistic works to reflect personal voice, story and values (Grades 11 and 12)</w:t>
      </w:r>
    </w:p>
    <w:p w14:paraId="4D18048C" w14:textId="77777777" w:rsidR="0015235A" w:rsidRPr="00B23505" w:rsidRDefault="00283635" w:rsidP="0015235A">
      <w:pPr>
        <w:pStyle w:val="BodyText"/>
        <w:rPr>
          <w:lang w:val="en-CA"/>
        </w:rPr>
      </w:pPr>
      <w:r w:rsidRPr="00B23505">
        <w:rPr>
          <w:lang w:val="en-CA"/>
        </w:rPr>
        <w:t>For example, I achieved this by</w:t>
      </w:r>
    </w:p>
    <w:p w14:paraId="2D735CB5" w14:textId="77777777" w:rsidR="0015235A" w:rsidRPr="00B23505" w:rsidRDefault="0015235A" w:rsidP="0015235A">
      <w:pPr>
        <w:pStyle w:val="BodyText"/>
        <w:rPr>
          <w:lang w:val="en-CA"/>
        </w:rPr>
      </w:pPr>
      <w:r w:rsidRPr="00B23505">
        <w:rPr>
          <w:lang w:val="en-CA"/>
        </w:rPr>
        <w:t>_________________________________________________________________________</w:t>
      </w:r>
    </w:p>
    <w:p w14:paraId="384C472D" w14:textId="52C38572" w:rsidR="00283635" w:rsidRPr="00B23505" w:rsidRDefault="00283635" w:rsidP="0015235A">
      <w:pPr>
        <w:pStyle w:val="BodyText"/>
        <w:rPr>
          <w:lang w:val="en-CA"/>
        </w:rPr>
      </w:pPr>
    </w:p>
    <w:p w14:paraId="42324427" w14:textId="77777777" w:rsidR="00065D73" w:rsidRPr="00B23505" w:rsidRDefault="00065D73">
      <w:pPr>
        <w:rPr>
          <w:rFonts w:ascii="Arial" w:eastAsia="Arial" w:hAnsi="Arial" w:cs="Arial"/>
          <w:b/>
          <w:bCs/>
          <w:iCs w:val="0"/>
          <w:noProof/>
          <w:color w:val="595959" w:themeColor="text1" w:themeTint="A6"/>
          <w:sz w:val="28"/>
          <w:szCs w:val="28"/>
        </w:rPr>
      </w:pPr>
      <w:r>
        <w:br w:type="page"/>
      </w:r>
    </w:p>
    <w:p w14:paraId="5593E945" w14:textId="5D633698" w:rsidR="00283635" w:rsidRPr="00B23505" w:rsidRDefault="00283635" w:rsidP="00AC666C">
      <w:pPr>
        <w:pStyle w:val="Heading2"/>
        <w:rPr>
          <w:lang w:val="en-CA"/>
        </w:rPr>
      </w:pPr>
      <w:r w:rsidRPr="00B23505">
        <w:rPr>
          <w:lang w:val="en-CA"/>
        </w:rPr>
        <w:lastRenderedPageBreak/>
        <w:t>References</w:t>
      </w:r>
    </w:p>
    <w:p w14:paraId="2668D0BD" w14:textId="6BF51F48" w:rsidR="00283635" w:rsidRPr="00B23505" w:rsidRDefault="00283635" w:rsidP="0015235A">
      <w:pPr>
        <w:pStyle w:val="BodyText"/>
        <w:rPr>
          <w:lang w:val="en-CA"/>
        </w:rPr>
      </w:pPr>
      <w:r w:rsidRPr="00B23505">
        <w:rPr>
          <w:b/>
          <w:bCs/>
          <w:lang w:val="en-CA"/>
        </w:rPr>
        <w:t>Visual Journaling</w:t>
      </w:r>
      <w:r w:rsidR="00C86432" w:rsidRPr="00B23505">
        <w:rPr>
          <w:lang w:val="en-CA"/>
        </w:rPr>
        <w:br/>
      </w:r>
      <w:r w:rsidRPr="00B23505">
        <w:rPr>
          <w:lang w:val="en-CA"/>
        </w:rPr>
        <w:t xml:space="preserve"> </w:t>
      </w:r>
      <w:hyperlink r:id="rId8" w:history="1">
        <w:r w:rsidRPr="00B23505">
          <w:rPr>
            <w:rStyle w:val="Hyperlink"/>
            <w:lang w:val="en-CA"/>
          </w:rPr>
          <w:t>www.1000journals.com</w:t>
        </w:r>
      </w:hyperlink>
    </w:p>
    <w:p w14:paraId="1E1C9FE1" w14:textId="77777777" w:rsidR="00283635" w:rsidRPr="00B23505" w:rsidRDefault="00283635" w:rsidP="0015235A">
      <w:pPr>
        <w:pStyle w:val="BodyText"/>
        <w:rPr>
          <w:lang w:val="en-CA"/>
        </w:rPr>
      </w:pPr>
      <w:r w:rsidRPr="00B23505">
        <w:rPr>
          <w:lang w:val="en-CA"/>
        </w:rPr>
        <w:t>Nightmares in the Sky: Gargoyles and Grotesques by Stephen King and f-stop Fitzgerald. Viking Studio Books, 1988</w:t>
      </w:r>
    </w:p>
    <w:p w14:paraId="4B2E3D93" w14:textId="77777777" w:rsidR="00283635" w:rsidRPr="00B23505" w:rsidRDefault="00283635" w:rsidP="00C86432">
      <w:pPr>
        <w:pStyle w:val="BodyText"/>
        <w:rPr>
          <w:lang w:val="en-CA"/>
        </w:rPr>
      </w:pPr>
      <w:r w:rsidRPr="00B23505">
        <w:rPr>
          <w:lang w:val="en-CA"/>
        </w:rPr>
        <w:t>Canadian Artists as references:</w:t>
      </w:r>
    </w:p>
    <w:p w14:paraId="47FD0B24" w14:textId="5607C8E2" w:rsidR="00283635" w:rsidRPr="00B23505" w:rsidRDefault="00283635" w:rsidP="00C86432">
      <w:pPr>
        <w:pStyle w:val="BodyText"/>
        <w:rPr>
          <w:b/>
          <w:bCs/>
          <w:lang w:val="en-CA"/>
        </w:rPr>
      </w:pPr>
      <w:r w:rsidRPr="00B23505">
        <w:rPr>
          <w:b/>
          <w:bCs/>
          <w:lang w:val="en-CA"/>
        </w:rPr>
        <w:t>Kathy Venter</w:t>
      </w:r>
      <w:r w:rsidR="00C86432" w:rsidRPr="00B23505">
        <w:rPr>
          <w:b/>
          <w:bCs/>
          <w:lang w:val="en-CA"/>
        </w:rPr>
        <w:br/>
      </w:r>
      <w:hyperlink r:id="rId9" w:history="1">
        <w:r w:rsidR="00C86432" w:rsidRPr="00B23505">
          <w:rPr>
            <w:rStyle w:val="Hyperlink"/>
            <w:lang w:val="en-CA"/>
          </w:rPr>
          <w:t>http://www.kathyventer.com/</w:t>
        </w:r>
      </w:hyperlink>
      <w:r w:rsidRPr="00B23505">
        <w:rPr>
          <w:lang w:val="en-CA"/>
        </w:rPr>
        <w:t xml:space="preserve"> </w:t>
      </w:r>
    </w:p>
    <w:p w14:paraId="51A13CA5" w14:textId="473A605A" w:rsidR="00283635" w:rsidRPr="00B23505" w:rsidRDefault="00283635" w:rsidP="00C86432">
      <w:pPr>
        <w:pStyle w:val="TableText"/>
        <w:rPr>
          <w:lang w:val="en-CA"/>
        </w:rPr>
      </w:pPr>
      <w:r w:rsidRPr="00B23505">
        <w:rPr>
          <w:lang w:val="en-CA"/>
        </w:rPr>
        <w:t>Bob Kingsmill</w:t>
      </w:r>
      <w:r w:rsidR="00C86432" w:rsidRPr="00B23505">
        <w:rPr>
          <w:lang w:val="en-CA"/>
        </w:rPr>
        <w:br/>
      </w:r>
      <w:hyperlink r:id="rId10" w:history="1">
        <w:r w:rsidR="00C86432" w:rsidRPr="00B23505">
          <w:rPr>
            <w:rStyle w:val="Hyperlink"/>
            <w:b w:val="0"/>
            <w:bCs w:val="0"/>
            <w:sz w:val="22"/>
            <w:szCs w:val="22"/>
            <w:lang w:val="en-CA"/>
          </w:rPr>
          <w:t>http://www.kingsmillpottery.com/</w:t>
        </w:r>
      </w:hyperlink>
    </w:p>
    <w:p w14:paraId="31A0543E" w14:textId="40C4D6BA" w:rsidR="00283635" w:rsidRPr="00B23505" w:rsidRDefault="00C86432" w:rsidP="00AC666C">
      <w:pPr>
        <w:pStyle w:val="Heading3"/>
        <w:rPr>
          <w:lang w:val="en-CA"/>
        </w:rPr>
      </w:pPr>
      <w:r w:rsidRPr="00B23505">
        <w:rPr>
          <w:lang w:val="en-CA"/>
        </w:rPr>
        <w:br/>
      </w:r>
      <w:r w:rsidR="00283635" w:rsidRPr="00B23505">
        <w:rPr>
          <w:lang w:val="en-CA"/>
        </w:rPr>
        <w:t>International Artists as References</w:t>
      </w:r>
    </w:p>
    <w:p w14:paraId="6ECCA13E" w14:textId="5D41CF91" w:rsidR="00283635" w:rsidRPr="00B23505" w:rsidRDefault="00283635" w:rsidP="0015235A">
      <w:pPr>
        <w:pStyle w:val="BodyText"/>
        <w:rPr>
          <w:lang w:val="en-CA"/>
        </w:rPr>
      </w:pPr>
      <w:r w:rsidRPr="00B23505">
        <w:rPr>
          <w:b/>
          <w:bCs/>
          <w:lang w:val="en-CA"/>
        </w:rPr>
        <w:t>Walter S. Arnold</w:t>
      </w:r>
      <w:r w:rsidR="00C86432" w:rsidRPr="00B23505">
        <w:rPr>
          <w:lang w:val="en-CA"/>
        </w:rPr>
        <w:br/>
      </w:r>
      <w:hyperlink r:id="rId11" w:history="1">
        <w:r w:rsidR="00C86432" w:rsidRPr="00B23505">
          <w:rPr>
            <w:rStyle w:val="Hyperlink"/>
            <w:lang w:val="en-CA"/>
          </w:rPr>
          <w:t>http://www.stonecarver.com/gargoyle.html</w:t>
        </w:r>
      </w:hyperlink>
    </w:p>
    <w:p w14:paraId="3B52B5BE" w14:textId="42BF674C" w:rsidR="00283635" w:rsidRPr="00B23505" w:rsidRDefault="00283635" w:rsidP="0015235A">
      <w:pPr>
        <w:pStyle w:val="BodyText"/>
        <w:rPr>
          <w:lang w:val="en-CA"/>
        </w:rPr>
      </w:pPr>
      <w:r w:rsidRPr="00B23505">
        <w:rPr>
          <w:lang w:val="en-CA"/>
        </w:rPr>
        <w:t>Arnold also has a Q &amp; A section for teachers:</w:t>
      </w:r>
      <w:r w:rsidR="00153F56" w:rsidRPr="00B23505">
        <w:rPr>
          <w:lang w:val="en-CA"/>
        </w:rPr>
        <w:br/>
      </w:r>
      <w:hyperlink r:id="rId12" w:history="1">
        <w:r w:rsidR="00153F56" w:rsidRPr="00B23505">
          <w:rPr>
            <w:rStyle w:val="Hyperlink"/>
            <w:lang w:val="en-CA"/>
          </w:rPr>
          <w:t>https://www.stonecarver.com/teachersqa/</w:t>
        </w:r>
      </w:hyperlink>
    </w:p>
    <w:p w14:paraId="6F131B5A" w14:textId="19D693F8" w:rsidR="00283635" w:rsidRDefault="00283635" w:rsidP="0015235A">
      <w:pPr>
        <w:pStyle w:val="BodyText"/>
      </w:pPr>
      <w:r w:rsidRPr="00C86432">
        <w:rPr>
          <w:b/>
          <w:bCs/>
        </w:rPr>
        <w:t>Dan Reeder</w:t>
      </w:r>
      <w:r w:rsidR="00C86432">
        <w:br/>
      </w:r>
      <w:hyperlink r:id="rId13" w:history="1">
        <w:r w:rsidR="00C86432" w:rsidRPr="006B502D">
          <w:rPr>
            <w:rStyle w:val="Hyperlink"/>
          </w:rPr>
          <w:t>http://gourmetpapermache.com/</w:t>
        </w:r>
      </w:hyperlink>
    </w:p>
    <w:p w14:paraId="42BDBDA0" w14:textId="0EE7712D" w:rsidR="009E3483" w:rsidRPr="00C86432" w:rsidRDefault="00283635" w:rsidP="00C86432">
      <w:pPr>
        <w:pStyle w:val="BodyText"/>
        <w:rPr>
          <w:rStyle w:val="Hyperlink"/>
          <w:b/>
          <w:bCs/>
          <w:color w:val="auto"/>
          <w:u w:val="none"/>
        </w:rPr>
      </w:pPr>
      <w:r w:rsidRPr="00C86432">
        <w:rPr>
          <w:b/>
          <w:bCs/>
        </w:rPr>
        <w:t>Rosslyn Chapel, Scotland</w:t>
      </w:r>
      <w:r w:rsidR="00C86432">
        <w:rPr>
          <w:b/>
          <w:bCs/>
        </w:rPr>
        <w:br/>
      </w:r>
      <w:hyperlink r:id="rId14" w:history="1">
        <w:r w:rsidR="00C86432" w:rsidRPr="006B502D">
          <w:rPr>
            <w:rStyle w:val="Hyperlink"/>
          </w:rPr>
          <w:t>http://learning.rosslandchapel.org.uk/articles/list/C1</w:t>
        </w:r>
      </w:hyperlink>
    </w:p>
    <w:p w14:paraId="625F1C8F" w14:textId="75D7817F" w:rsidR="00145191" w:rsidRDefault="00145191" w:rsidP="0015235A">
      <w:pPr>
        <w:pStyle w:val="BodyText"/>
        <w:rPr>
          <w:rStyle w:val="Hyperlink"/>
        </w:rPr>
      </w:pPr>
    </w:p>
    <w:p w14:paraId="678FE663" w14:textId="77777777" w:rsidR="00145191" w:rsidRPr="006337AB" w:rsidRDefault="00145191" w:rsidP="0015235A">
      <w:pPr>
        <w:pStyle w:val="BodyText"/>
      </w:pPr>
    </w:p>
    <w:sectPr w:rsidR="00145191" w:rsidRPr="006337AB" w:rsidSect="00967AF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A6C8" w14:textId="77777777" w:rsidR="003F3759" w:rsidRDefault="003F3759" w:rsidP="005869FD">
      <w:pPr>
        <w:spacing w:after="0" w:line="240" w:lineRule="auto"/>
      </w:pPr>
      <w:r>
        <w:separator/>
      </w:r>
    </w:p>
  </w:endnote>
  <w:endnote w:type="continuationSeparator" w:id="0">
    <w:p w14:paraId="6F3A5456" w14:textId="77777777" w:rsidR="003F3759" w:rsidRDefault="003F3759"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967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967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82295"/>
      <w:docPartObj>
        <w:docPartGallery w:val="Page Numbers (Bottom of Page)"/>
        <w:docPartUnique/>
      </w:docPartObj>
    </w:sdtPr>
    <w:sdtEndPr>
      <w:rPr>
        <w:rStyle w:val="PageNumber"/>
      </w:rPr>
    </w:sdtEndPr>
    <w:sdtContent>
      <w:p w14:paraId="40DCC000" w14:textId="5BA6B060" w:rsidR="00967AFB" w:rsidRDefault="00967AFB" w:rsidP="006B5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001795C" w14:textId="77777777" w:rsidR="001B52F5" w:rsidRDefault="001B52F5" w:rsidP="00967A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AADB" w14:textId="77777777" w:rsidR="003F3759" w:rsidRDefault="003F3759" w:rsidP="005869FD">
      <w:pPr>
        <w:spacing w:after="0" w:line="240" w:lineRule="auto"/>
      </w:pPr>
      <w:r>
        <w:separator/>
      </w:r>
    </w:p>
  </w:footnote>
  <w:footnote w:type="continuationSeparator" w:id="0">
    <w:p w14:paraId="55C5F5F1" w14:textId="77777777" w:rsidR="003F3759" w:rsidRDefault="003F3759"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17"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12B79"/>
    <w:multiLevelType w:val="hybridMultilevel"/>
    <w:tmpl w:val="FE408AEE"/>
    <w:lvl w:ilvl="0" w:tplc="422622FE">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hybridMultilevel"/>
    <w:tmpl w:val="E9089406"/>
    <w:lvl w:ilvl="0" w:tplc="1C3EE94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21"/>
  </w:num>
  <w:num w:numId="5">
    <w:abstractNumId w:val="2"/>
  </w:num>
  <w:num w:numId="6">
    <w:abstractNumId w:val="7"/>
  </w:num>
  <w:num w:numId="7">
    <w:abstractNumId w:val="18"/>
  </w:num>
  <w:num w:numId="8">
    <w:abstractNumId w:val="0"/>
  </w:num>
  <w:num w:numId="9">
    <w:abstractNumId w:val="11"/>
  </w:num>
  <w:num w:numId="10">
    <w:abstractNumId w:val="12"/>
  </w:num>
  <w:num w:numId="11">
    <w:abstractNumId w:val="17"/>
  </w:num>
  <w:num w:numId="12">
    <w:abstractNumId w:val="4"/>
  </w:num>
  <w:num w:numId="13">
    <w:abstractNumId w:val="15"/>
  </w:num>
  <w:num w:numId="14">
    <w:abstractNumId w:val="22"/>
  </w:num>
  <w:num w:numId="15">
    <w:abstractNumId w:val="1"/>
  </w:num>
  <w:num w:numId="16">
    <w:abstractNumId w:val="8"/>
  </w:num>
  <w:num w:numId="17">
    <w:abstractNumId w:val="19"/>
  </w:num>
  <w:num w:numId="18">
    <w:abstractNumId w:val="10"/>
  </w:num>
  <w:num w:numId="19">
    <w:abstractNumId w:val="6"/>
  </w:num>
  <w:num w:numId="20">
    <w:abstractNumId w:val="14"/>
  </w:num>
  <w:num w:numId="21">
    <w:abstractNumId w:val="9"/>
  </w:num>
  <w:num w:numId="22">
    <w:abstractNumId w:val="3"/>
  </w:num>
  <w:num w:numId="23">
    <w:abstractNumId w:val="13"/>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A" w:vendorID="64" w:dllVersion="0" w:nlCheck="1" w:checkStyle="0"/>
  <w:proofState w:spelling="clean" w:grammar="clean"/>
  <w:defaultTabStop w:val="720"/>
  <w:defaultTableStyle w:val="TableGrid"/>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5046D"/>
    <w:rsid w:val="00065D73"/>
    <w:rsid w:val="000915C6"/>
    <w:rsid w:val="000938C0"/>
    <w:rsid w:val="000B12A2"/>
    <w:rsid w:val="000F76F4"/>
    <w:rsid w:val="001115BD"/>
    <w:rsid w:val="001159F3"/>
    <w:rsid w:val="00123D08"/>
    <w:rsid w:val="00140FA9"/>
    <w:rsid w:val="00145191"/>
    <w:rsid w:val="0015235A"/>
    <w:rsid w:val="00153602"/>
    <w:rsid w:val="00153F56"/>
    <w:rsid w:val="001601BA"/>
    <w:rsid w:val="00184CB1"/>
    <w:rsid w:val="001977AD"/>
    <w:rsid w:val="001A3C82"/>
    <w:rsid w:val="001B2B1F"/>
    <w:rsid w:val="001B52F5"/>
    <w:rsid w:val="001C5219"/>
    <w:rsid w:val="001C7548"/>
    <w:rsid w:val="001D63A6"/>
    <w:rsid w:val="001F53FB"/>
    <w:rsid w:val="0021542C"/>
    <w:rsid w:val="0023428D"/>
    <w:rsid w:val="0023531A"/>
    <w:rsid w:val="0024523B"/>
    <w:rsid w:val="0025457F"/>
    <w:rsid w:val="00265FB0"/>
    <w:rsid w:val="002730CF"/>
    <w:rsid w:val="00277DEF"/>
    <w:rsid w:val="00283635"/>
    <w:rsid w:val="002C57EB"/>
    <w:rsid w:val="002E2B8F"/>
    <w:rsid w:val="002F6C4D"/>
    <w:rsid w:val="0032141A"/>
    <w:rsid w:val="00324A74"/>
    <w:rsid w:val="00325C2E"/>
    <w:rsid w:val="00353F1C"/>
    <w:rsid w:val="00373CAE"/>
    <w:rsid w:val="0037687A"/>
    <w:rsid w:val="003B1B87"/>
    <w:rsid w:val="003C40AE"/>
    <w:rsid w:val="003C6D74"/>
    <w:rsid w:val="003D36DB"/>
    <w:rsid w:val="003F14AC"/>
    <w:rsid w:val="003F19F0"/>
    <w:rsid w:val="003F3759"/>
    <w:rsid w:val="00403906"/>
    <w:rsid w:val="00426B79"/>
    <w:rsid w:val="004409A0"/>
    <w:rsid w:val="0044412B"/>
    <w:rsid w:val="00454B4F"/>
    <w:rsid w:val="004749BC"/>
    <w:rsid w:val="004965E1"/>
    <w:rsid w:val="004A49ED"/>
    <w:rsid w:val="004A748C"/>
    <w:rsid w:val="004B70C2"/>
    <w:rsid w:val="004C359A"/>
    <w:rsid w:val="004C59B3"/>
    <w:rsid w:val="00545A4A"/>
    <w:rsid w:val="005522ED"/>
    <w:rsid w:val="00566FFB"/>
    <w:rsid w:val="00582FFD"/>
    <w:rsid w:val="005869FD"/>
    <w:rsid w:val="005A0F39"/>
    <w:rsid w:val="005D0371"/>
    <w:rsid w:val="005D1AAD"/>
    <w:rsid w:val="005D1B7A"/>
    <w:rsid w:val="005D1C3E"/>
    <w:rsid w:val="005D4DCD"/>
    <w:rsid w:val="00602737"/>
    <w:rsid w:val="0060314F"/>
    <w:rsid w:val="006129B1"/>
    <w:rsid w:val="0062384F"/>
    <w:rsid w:val="006337AB"/>
    <w:rsid w:val="00634799"/>
    <w:rsid w:val="00637BE8"/>
    <w:rsid w:val="0065119E"/>
    <w:rsid w:val="006556E8"/>
    <w:rsid w:val="0066705D"/>
    <w:rsid w:val="006707EC"/>
    <w:rsid w:val="00680B77"/>
    <w:rsid w:val="00683CF1"/>
    <w:rsid w:val="0069123D"/>
    <w:rsid w:val="006D5BFF"/>
    <w:rsid w:val="006E790B"/>
    <w:rsid w:val="006F6E95"/>
    <w:rsid w:val="007132B1"/>
    <w:rsid w:val="00715EBB"/>
    <w:rsid w:val="0073410A"/>
    <w:rsid w:val="00736C78"/>
    <w:rsid w:val="007404DF"/>
    <w:rsid w:val="007751AD"/>
    <w:rsid w:val="00776899"/>
    <w:rsid w:val="00783F08"/>
    <w:rsid w:val="0079577D"/>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903DC4"/>
    <w:rsid w:val="0093071D"/>
    <w:rsid w:val="00941F8F"/>
    <w:rsid w:val="009562FE"/>
    <w:rsid w:val="00966C61"/>
    <w:rsid w:val="00967AFB"/>
    <w:rsid w:val="009A7822"/>
    <w:rsid w:val="009B1A8D"/>
    <w:rsid w:val="009C2050"/>
    <w:rsid w:val="009C248A"/>
    <w:rsid w:val="009E3483"/>
    <w:rsid w:val="00A00394"/>
    <w:rsid w:val="00A11EE8"/>
    <w:rsid w:val="00A15728"/>
    <w:rsid w:val="00A21D9E"/>
    <w:rsid w:val="00A7268C"/>
    <w:rsid w:val="00AA2140"/>
    <w:rsid w:val="00AB3E70"/>
    <w:rsid w:val="00AC2C56"/>
    <w:rsid w:val="00AC666C"/>
    <w:rsid w:val="00AE3428"/>
    <w:rsid w:val="00AE5672"/>
    <w:rsid w:val="00AF7F7A"/>
    <w:rsid w:val="00B02016"/>
    <w:rsid w:val="00B1334E"/>
    <w:rsid w:val="00B13B04"/>
    <w:rsid w:val="00B17860"/>
    <w:rsid w:val="00B23505"/>
    <w:rsid w:val="00B30F18"/>
    <w:rsid w:val="00B55196"/>
    <w:rsid w:val="00B61A0F"/>
    <w:rsid w:val="00B62D30"/>
    <w:rsid w:val="00B74E84"/>
    <w:rsid w:val="00B850B3"/>
    <w:rsid w:val="00BA1C44"/>
    <w:rsid w:val="00BA56CA"/>
    <w:rsid w:val="00BB1CB4"/>
    <w:rsid w:val="00BB1D3B"/>
    <w:rsid w:val="00BC7F6E"/>
    <w:rsid w:val="00BF6D42"/>
    <w:rsid w:val="00BF73EB"/>
    <w:rsid w:val="00C11B69"/>
    <w:rsid w:val="00C15C44"/>
    <w:rsid w:val="00C25096"/>
    <w:rsid w:val="00C52A35"/>
    <w:rsid w:val="00C66D10"/>
    <w:rsid w:val="00C80CBA"/>
    <w:rsid w:val="00C86432"/>
    <w:rsid w:val="00C90AEB"/>
    <w:rsid w:val="00C97054"/>
    <w:rsid w:val="00CD0EE8"/>
    <w:rsid w:val="00CD20BA"/>
    <w:rsid w:val="00CE16A2"/>
    <w:rsid w:val="00CE6D23"/>
    <w:rsid w:val="00CE7172"/>
    <w:rsid w:val="00D11D23"/>
    <w:rsid w:val="00D3291A"/>
    <w:rsid w:val="00D32A54"/>
    <w:rsid w:val="00D52897"/>
    <w:rsid w:val="00D64693"/>
    <w:rsid w:val="00D842A7"/>
    <w:rsid w:val="00D90E5A"/>
    <w:rsid w:val="00D978AC"/>
    <w:rsid w:val="00DB49A1"/>
    <w:rsid w:val="00DE45B1"/>
    <w:rsid w:val="00DF03BC"/>
    <w:rsid w:val="00DF6FCE"/>
    <w:rsid w:val="00E161E3"/>
    <w:rsid w:val="00E30929"/>
    <w:rsid w:val="00E77BDC"/>
    <w:rsid w:val="00E90A63"/>
    <w:rsid w:val="00EE19A3"/>
    <w:rsid w:val="00EF7CD7"/>
    <w:rsid w:val="00F05E1F"/>
    <w:rsid w:val="00F31598"/>
    <w:rsid w:val="00F35A7C"/>
    <w:rsid w:val="00F4472F"/>
    <w:rsid w:val="00F55B35"/>
    <w:rsid w:val="00F8230A"/>
    <w:rsid w:val="00F90248"/>
    <w:rsid w:val="00F923EA"/>
    <w:rsid w:val="00FE1795"/>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6E790B"/>
    <w:pPr>
      <w:pBdr>
        <w:top w:val="single" w:sz="12" w:space="2" w:color="000000" w:themeColor="text1"/>
      </w:pBdr>
      <w:spacing w:before="100" w:beforeAutospacing="1" w:after="240" w:line="276" w:lineRule="auto"/>
      <w:outlineLvl w:val="0"/>
    </w:pPr>
    <w:rPr>
      <w:color w:val="0F486E" w:themeColor="text2" w:themeShade="BF"/>
      <w:sz w:val="32"/>
      <w:szCs w:val="32"/>
    </w:rPr>
  </w:style>
  <w:style w:type="paragraph" w:styleId="Heading2">
    <w:name w:val="heading 2"/>
    <w:basedOn w:val="Header2"/>
    <w:next w:val="BodyText"/>
    <w:link w:val="Heading2Char"/>
    <w:autoRedefine/>
    <w:uiPriority w:val="9"/>
    <w:unhideWhenUsed/>
    <w:qFormat/>
    <w:rsid w:val="00AC666C"/>
    <w:pPr>
      <w:spacing w:before="360" w:after="120" w:line="240" w:lineRule="auto"/>
      <w:ind w:right="86"/>
      <w:outlineLvl w:val="1"/>
    </w:pPr>
    <w:rPr>
      <w:b/>
      <w:bCs/>
      <w:color w:val="0F486E" w:themeColor="text2" w:themeShade="BF"/>
      <w:sz w:val="32"/>
      <w:szCs w:val="32"/>
    </w:rPr>
  </w:style>
  <w:style w:type="paragraph" w:styleId="Heading3">
    <w:name w:val="heading 3"/>
    <w:basedOn w:val="Heading2"/>
    <w:next w:val="Normal"/>
    <w:link w:val="Heading3Char"/>
    <w:autoRedefine/>
    <w:uiPriority w:val="9"/>
    <w:unhideWhenUsed/>
    <w:qFormat/>
    <w:rsid w:val="00AC666C"/>
    <w:pPr>
      <w:spacing w:before="240" w:after="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0B"/>
    <w:rPr>
      <w:rFonts w:ascii="Arial Black" w:eastAsia="Arial" w:hAnsi="Arial Black" w:cs="Arial"/>
      <w:b/>
      <w:caps/>
      <w:noProof/>
      <w:color w:val="0F486E" w:themeColor="text2" w:themeShade="BF"/>
      <w:sz w:val="32"/>
      <w:szCs w:val="32"/>
      <w:lang w:val="fr-CA"/>
    </w:rPr>
  </w:style>
  <w:style w:type="character" w:customStyle="1" w:styleId="Heading2Char">
    <w:name w:val="Heading 2 Char"/>
    <w:basedOn w:val="DefaultParagraphFont"/>
    <w:link w:val="Heading2"/>
    <w:uiPriority w:val="9"/>
    <w:rsid w:val="00AC666C"/>
    <w:rPr>
      <w:rFonts w:ascii="Arial" w:eastAsia="Arial" w:hAnsi="Arial" w:cs="Arial"/>
      <w:b/>
      <w:bCs/>
      <w:noProof/>
      <w:color w:val="0F486E" w:themeColor="text2" w:themeShade="BF"/>
      <w:sz w:val="32"/>
      <w:szCs w:val="32"/>
      <w:lang w:val="fr-CA"/>
    </w:rPr>
  </w:style>
  <w:style w:type="character" w:customStyle="1" w:styleId="Heading3Char">
    <w:name w:val="Heading 3 Char"/>
    <w:basedOn w:val="DefaultParagraphFont"/>
    <w:link w:val="Heading3"/>
    <w:uiPriority w:val="9"/>
    <w:rsid w:val="00AC666C"/>
    <w:rPr>
      <w:rFonts w:ascii="Arial" w:eastAsia="Arial" w:hAnsi="Arial" w:cs="Arial"/>
      <w:b/>
      <w:bCs/>
      <w:noProof/>
      <w:color w:val="0F486E" w:themeColor="text2"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BA1C44"/>
    <w:pPr>
      <w:numPr>
        <w:numId w:val="1"/>
      </w:numPr>
      <w:spacing w:before="200" w:after="200"/>
      <w:ind w:left="1080" w:right="720" w:hanging="274"/>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qFormat/>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D3291A"/>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D3291A"/>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3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BA1C44"/>
    <w:pPr>
      <w:numPr>
        <w:numId w:val="2"/>
      </w:numPr>
      <w:tabs>
        <w:tab w:val="clear" w:pos="2100"/>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BA1C44"/>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character" w:styleId="CommentReference">
    <w:name w:val="annotation reference"/>
    <w:basedOn w:val="DefaultParagraphFont"/>
    <w:uiPriority w:val="99"/>
    <w:semiHidden/>
    <w:unhideWhenUsed/>
    <w:rsid w:val="001D63A6"/>
    <w:rPr>
      <w:sz w:val="16"/>
      <w:szCs w:val="16"/>
    </w:rPr>
  </w:style>
  <w:style w:type="paragraph" w:styleId="CommentText">
    <w:name w:val="annotation text"/>
    <w:basedOn w:val="Normal"/>
    <w:link w:val="CommentTextChar"/>
    <w:uiPriority w:val="99"/>
    <w:semiHidden/>
    <w:unhideWhenUsed/>
    <w:rsid w:val="001D63A6"/>
    <w:pPr>
      <w:spacing w:line="240" w:lineRule="auto"/>
    </w:pPr>
    <w:rPr>
      <w:sz w:val="20"/>
      <w:szCs w:val="20"/>
    </w:rPr>
  </w:style>
  <w:style w:type="character" w:customStyle="1" w:styleId="CommentTextChar">
    <w:name w:val="Comment Text Char"/>
    <w:basedOn w:val="DefaultParagraphFont"/>
    <w:link w:val="CommentText"/>
    <w:uiPriority w:val="99"/>
    <w:semiHidden/>
    <w:rsid w:val="001D63A6"/>
    <w:rPr>
      <w:iCs/>
      <w:sz w:val="20"/>
      <w:szCs w:val="20"/>
    </w:rPr>
  </w:style>
  <w:style w:type="paragraph" w:styleId="CommentSubject">
    <w:name w:val="annotation subject"/>
    <w:basedOn w:val="CommentText"/>
    <w:next w:val="CommentText"/>
    <w:link w:val="CommentSubjectChar"/>
    <w:uiPriority w:val="99"/>
    <w:semiHidden/>
    <w:unhideWhenUsed/>
    <w:rsid w:val="001D63A6"/>
    <w:rPr>
      <w:b/>
      <w:bCs/>
    </w:rPr>
  </w:style>
  <w:style w:type="character" w:customStyle="1" w:styleId="CommentSubjectChar">
    <w:name w:val="Comment Subject Char"/>
    <w:basedOn w:val="CommentTextChar"/>
    <w:link w:val="CommentSubject"/>
    <w:uiPriority w:val="99"/>
    <w:semiHidden/>
    <w:rsid w:val="001D63A6"/>
    <w:rPr>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journals.com/" TargetMode="External"/><Relationship Id="rId13" Type="http://schemas.openxmlformats.org/officeDocument/2006/relationships/hyperlink" Target="http://gourmetpapermach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onecarver.com/teachersq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necarver.com/gargoyl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ngsmillpotter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athyventer.com/" TargetMode="External"/><Relationship Id="rId14" Type="http://schemas.openxmlformats.org/officeDocument/2006/relationships/hyperlink" Target="http://learning.rosslandchapel.org.uk/articles/list/C1" TargetMode="External"/><Relationship Id="rId22"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2F59-5590-496E-9C74-4014445D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Bomphray, Alexandra EDUC:EX</cp:lastModifiedBy>
  <cp:revision>3</cp:revision>
  <cp:lastPrinted>2019-09-04T22:35:00Z</cp:lastPrinted>
  <dcterms:created xsi:type="dcterms:W3CDTF">2019-11-28T16:53:00Z</dcterms:created>
  <dcterms:modified xsi:type="dcterms:W3CDTF">2019-11-29T21:34:00Z</dcterms:modified>
</cp:coreProperties>
</file>